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44" w:rsidRDefault="00E11B09">
      <w:pPr>
        <w:pStyle w:val="Heading1"/>
        <w:spacing w:before="11"/>
        <w:ind w:right="1643"/>
      </w:pPr>
      <w:r>
        <w:t>KRITERIJUMI ZA KVALITATIVNI IZBOR PRIVREDNOG SUBJEKTA</w:t>
      </w:r>
    </w:p>
    <w:p w:rsidR="00E45544" w:rsidRDefault="00E45544">
      <w:pPr>
        <w:spacing w:before="7"/>
        <w:rPr>
          <w:b/>
          <w:sz w:val="23"/>
        </w:rPr>
      </w:pPr>
    </w:p>
    <w:p w:rsidR="00E45544" w:rsidRDefault="00E11B09">
      <w:pPr>
        <w:ind w:left="1589" w:right="1640"/>
        <w:jc w:val="center"/>
        <w:rPr>
          <w:b/>
          <w:sz w:val="32"/>
        </w:rPr>
      </w:pPr>
      <w:r>
        <w:rPr>
          <w:b/>
          <w:sz w:val="32"/>
        </w:rPr>
        <w:t xml:space="preserve">i uputstvo kako se dokazuje ispunjenost tih </w:t>
      </w:r>
      <w:proofErr w:type="spellStart"/>
      <w:r>
        <w:rPr>
          <w:b/>
          <w:sz w:val="32"/>
        </w:rPr>
        <w:t>kriterijuma</w:t>
      </w:r>
      <w:proofErr w:type="spellEnd"/>
    </w:p>
    <w:p w:rsidR="00E45544" w:rsidRDefault="00E45544">
      <w:pPr>
        <w:rPr>
          <w:b/>
          <w:sz w:val="32"/>
        </w:rPr>
      </w:pPr>
    </w:p>
    <w:p w:rsidR="00E45544" w:rsidRDefault="00E45544">
      <w:pPr>
        <w:rPr>
          <w:b/>
          <w:sz w:val="32"/>
        </w:rPr>
      </w:pPr>
    </w:p>
    <w:p w:rsidR="00E45544" w:rsidRDefault="00E45544">
      <w:pPr>
        <w:spacing w:before="3"/>
        <w:rPr>
          <w:b/>
          <w:sz w:val="40"/>
        </w:rPr>
      </w:pPr>
    </w:p>
    <w:p w:rsidR="00E45544" w:rsidRDefault="00E11B09">
      <w:pPr>
        <w:pStyle w:val="ListParagraph"/>
        <w:numPr>
          <w:ilvl w:val="0"/>
          <w:numId w:val="6"/>
        </w:numPr>
        <w:tabs>
          <w:tab w:val="left" w:pos="399"/>
        </w:tabs>
        <w:spacing w:before="0"/>
        <w:rPr>
          <w:b/>
          <w:sz w:val="24"/>
        </w:rPr>
      </w:pPr>
      <w:r>
        <w:rPr>
          <w:b/>
          <w:sz w:val="24"/>
        </w:rPr>
        <w:t>Osnovi 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isključenje</w:t>
      </w: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3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1.1. Pravosnažna presuda za jedno ili više krivičnih </w:t>
            </w:r>
            <w:proofErr w:type="spellStart"/>
            <w:r>
              <w:rPr>
                <w:b/>
                <w:sz w:val="24"/>
              </w:rPr>
              <w:t>dela</w:t>
            </w:r>
            <w:proofErr w:type="spellEnd"/>
          </w:p>
        </w:tc>
      </w:tr>
      <w:tr w:rsidR="00E45544">
        <w:trPr>
          <w:trHeight w:val="4225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 xml:space="preserve">Član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1)-Naručilac je dužan da isključi privrednog subjekta iz postupka javne nabavke ako privredni subjekt ne dokaže da on i njegov zakonski zastupnik u periodu od prethodnih pet godina od dana isteka roka za podnošenje ponuda, odnosno prijava nije </w:t>
            </w:r>
            <w:proofErr w:type="spellStart"/>
            <w:r>
              <w:rPr>
                <w:sz w:val="20"/>
              </w:rPr>
              <w:t>pravnosnažno</w:t>
            </w:r>
            <w:proofErr w:type="spellEnd"/>
            <w:r>
              <w:rPr>
                <w:sz w:val="20"/>
              </w:rPr>
              <w:t xml:space="preserve"> osuđen, osim ako </w:t>
            </w:r>
            <w:proofErr w:type="spellStart"/>
            <w:r>
              <w:rPr>
                <w:sz w:val="20"/>
              </w:rPr>
              <w:t>pravnosnažnom</w:t>
            </w:r>
            <w:proofErr w:type="spellEnd"/>
            <w:r>
              <w:rPr>
                <w:sz w:val="20"/>
              </w:rPr>
              <w:t xml:space="preserve"> presudom nije utvrđen drugi period zabrane učešća u postupku javne nabavke, za:</w:t>
            </w:r>
          </w:p>
          <w:p w:rsidR="00E45544" w:rsidRDefault="00E11B0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/>
              <w:ind w:right="205" w:firstLine="0"/>
              <w:rPr>
                <w:sz w:val="20"/>
              </w:rPr>
            </w:pPr>
            <w:r>
              <w:rPr>
                <w:sz w:val="20"/>
              </w:rPr>
              <w:t xml:space="preserve">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koje je izvršilo kao član </w:t>
            </w:r>
            <w:proofErr w:type="spellStart"/>
            <w:r>
              <w:rPr>
                <w:sz w:val="20"/>
              </w:rPr>
              <w:t>organizovane</w:t>
            </w:r>
            <w:proofErr w:type="spellEnd"/>
            <w:r>
              <w:rPr>
                <w:sz w:val="20"/>
              </w:rPr>
              <w:t xml:space="preserve"> kriminalne grupe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udruživanje radi vršenja krivičnih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>;</w:t>
            </w:r>
          </w:p>
          <w:p w:rsidR="00E45544" w:rsidRDefault="00E4554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5544" w:rsidRDefault="00E11B0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/>
              <w:ind w:right="272" w:firstLine="0"/>
              <w:rPr>
                <w:sz w:val="20"/>
              </w:rPr>
            </w:pPr>
            <w:r>
              <w:rPr>
                <w:sz w:val="20"/>
              </w:rPr>
              <w:t xml:space="preserve">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položaja odgovornog lica,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u vezi sa javnom nabavkom,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primanja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davanja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službenog položaja,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trgovine </w:t>
            </w:r>
            <w:proofErr w:type="spellStart"/>
            <w:r>
              <w:rPr>
                <w:sz w:val="20"/>
              </w:rPr>
              <w:t>uticajem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primanja mita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davanja mita,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prevare,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neosnovanog </w:t>
            </w:r>
            <w:proofErr w:type="spellStart"/>
            <w:r>
              <w:rPr>
                <w:sz w:val="20"/>
              </w:rPr>
              <w:t>dobijanja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korišćenja</w:t>
            </w:r>
            <w:proofErr w:type="spellEnd"/>
            <w:r>
              <w:rPr>
                <w:sz w:val="20"/>
              </w:rPr>
              <w:t xml:space="preserve"> kredita i druge pogodnosti,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prevare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poreske utaje,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terorizma,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javnog </w:t>
            </w:r>
            <w:proofErr w:type="spellStart"/>
            <w:r>
              <w:rPr>
                <w:sz w:val="20"/>
              </w:rPr>
              <w:t>podsticanja</w:t>
            </w:r>
            <w:proofErr w:type="spellEnd"/>
            <w:r>
              <w:rPr>
                <w:sz w:val="20"/>
              </w:rPr>
              <w:t xml:space="preserve"> na izvršenje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vrbovanja i obučavanja za 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terorističkog udruživanja,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pranja novca,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finansiranja</w:t>
            </w:r>
            <w:proofErr w:type="spellEnd"/>
            <w:r>
              <w:rPr>
                <w:sz w:val="20"/>
              </w:rPr>
              <w:t xml:space="preserve"> terorizma,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trgovine ljudima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zasnivanja ropskog odnosa i </w:t>
            </w:r>
            <w:proofErr w:type="spellStart"/>
            <w:r>
              <w:rPr>
                <w:sz w:val="20"/>
              </w:rPr>
              <w:t>prevoza</w:t>
            </w:r>
            <w:proofErr w:type="spellEnd"/>
            <w:r>
              <w:rPr>
                <w:sz w:val="20"/>
              </w:rPr>
              <w:t xml:space="preserve"> lica u ropskom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odnosu.</w:t>
            </w:r>
          </w:p>
        </w:tc>
      </w:tr>
      <w:tr w:rsidR="00E45544">
        <w:trPr>
          <w:trHeight w:val="7399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  <w:p w:rsidR="00E45544" w:rsidRDefault="00E11B09">
            <w:pPr>
              <w:pStyle w:val="TableParagraph"/>
              <w:spacing w:before="0"/>
              <w:ind w:right="2"/>
              <w:rPr>
                <w:sz w:val="20"/>
              </w:rPr>
            </w:pPr>
            <w:r>
              <w:rPr>
                <w:sz w:val="20"/>
              </w:rPr>
              <w:t xml:space="preserve">Smatra se da privredni subjekt koji je upisan u registar ponuđača nema osnova za isključenje iz člana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>. 1) Zakona o javnim nabavkama.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Nepostojanje ovog osnova za isključenje dokazuje se </w:t>
            </w:r>
            <w:proofErr w:type="spellStart"/>
            <w:r>
              <w:rPr>
                <w:sz w:val="20"/>
              </w:rPr>
              <w:t>sledećim</w:t>
            </w:r>
            <w:proofErr w:type="spellEnd"/>
            <w:r>
              <w:rPr>
                <w:sz w:val="20"/>
              </w:rPr>
              <w:t xml:space="preserve"> dokazima: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Pravna lica i </w:t>
            </w:r>
            <w:proofErr w:type="spellStart"/>
            <w:r>
              <w:rPr>
                <w:sz w:val="20"/>
              </w:rPr>
              <w:t>preduzetnici</w:t>
            </w:r>
            <w:proofErr w:type="spellEnd"/>
            <w:r>
              <w:rPr>
                <w:sz w:val="20"/>
              </w:rPr>
              <w:t>:</w:t>
            </w:r>
          </w:p>
          <w:p w:rsidR="00E45544" w:rsidRDefault="00E11B09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0"/>
              <w:ind w:right="24" w:firstLine="0"/>
              <w:rPr>
                <w:sz w:val="20"/>
              </w:rPr>
            </w:pPr>
            <w:r>
              <w:rPr>
                <w:sz w:val="20"/>
              </w:rPr>
              <w:t xml:space="preserve">Potvrda nadležnog Osnovnog suda na čijem području se nalazi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domaćeg pravnog lica ili </w:t>
            </w:r>
            <w:proofErr w:type="spellStart"/>
            <w:r>
              <w:rPr>
                <w:sz w:val="20"/>
              </w:rPr>
              <w:t>preduzetnika</w:t>
            </w:r>
            <w:proofErr w:type="spellEnd"/>
            <w:r>
              <w:rPr>
                <w:sz w:val="20"/>
              </w:rPr>
              <w:t xml:space="preserve">, odnosno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predstavništva ili ogranka stranog pravnog lica kojim se potvrđuje da ponuđač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podnošenje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prijava nije </w:t>
            </w:r>
            <w:proofErr w:type="spellStart"/>
            <w:r>
              <w:rPr>
                <w:sz w:val="20"/>
              </w:rPr>
              <w:t>pravnosnažno</w:t>
            </w:r>
            <w:proofErr w:type="spellEnd"/>
            <w:r>
              <w:rPr>
                <w:sz w:val="20"/>
              </w:rPr>
              <w:t xml:space="preserve"> osuđen, osim ako </w:t>
            </w:r>
            <w:proofErr w:type="spellStart"/>
            <w:r>
              <w:rPr>
                <w:sz w:val="20"/>
              </w:rPr>
              <w:t>pravnosnažnom</w:t>
            </w:r>
            <w:proofErr w:type="spellEnd"/>
            <w:r>
              <w:rPr>
                <w:sz w:val="20"/>
              </w:rPr>
              <w:t xml:space="preserve"> presudom nije utvrđen drugi period zabrane učešća u postupku javne nabavke, i to za </w:t>
            </w:r>
            <w:proofErr w:type="spellStart"/>
            <w:r>
              <w:rPr>
                <w:sz w:val="20"/>
              </w:rPr>
              <w:t>sledeća</w:t>
            </w:r>
            <w:proofErr w:type="spellEnd"/>
            <w:r>
              <w:rPr>
                <w:sz w:val="20"/>
              </w:rPr>
              <w:t xml:space="preserve"> krivična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: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poreske utaje;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prevare;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neosnovanog </w:t>
            </w:r>
            <w:proofErr w:type="spellStart"/>
            <w:r>
              <w:rPr>
                <w:sz w:val="20"/>
              </w:rPr>
              <w:t>dobijanja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korišćenja</w:t>
            </w:r>
            <w:proofErr w:type="spellEnd"/>
            <w:r>
              <w:rPr>
                <w:sz w:val="20"/>
              </w:rPr>
              <w:t xml:space="preserve"> kredita i druge pogodnosti;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službenog položaja;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trgovine </w:t>
            </w:r>
            <w:proofErr w:type="spellStart"/>
            <w:r>
              <w:rPr>
                <w:sz w:val="20"/>
              </w:rPr>
              <w:t>uticajem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davanja mita;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trgovine ljudima (za oblike iz člana 388. st. 2, 3, 4, 6, 8 i 9)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zasnivanja ropskog odnosa i </w:t>
            </w:r>
            <w:proofErr w:type="spellStart"/>
            <w:r>
              <w:rPr>
                <w:sz w:val="20"/>
              </w:rPr>
              <w:t>prevoza</w:t>
            </w:r>
            <w:proofErr w:type="spellEnd"/>
            <w:r>
              <w:rPr>
                <w:sz w:val="20"/>
              </w:rPr>
              <w:t xml:space="preserve"> lica u ropskom odnosu (za oblike iz člana 390. st. 1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  <w:p w:rsidR="00E45544" w:rsidRDefault="00E11B09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0"/>
              <w:ind w:right="24" w:firstLine="0"/>
              <w:rPr>
                <w:sz w:val="20"/>
              </w:rPr>
            </w:pPr>
            <w:r>
              <w:rPr>
                <w:sz w:val="20"/>
              </w:rPr>
              <w:t xml:space="preserve">Potvrda nadležnog Višeg suda na čijem području se nalazi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domaćeg pravnog lica ili </w:t>
            </w:r>
            <w:proofErr w:type="spellStart"/>
            <w:r>
              <w:rPr>
                <w:sz w:val="20"/>
              </w:rPr>
              <w:t>preduzetnika</w:t>
            </w:r>
            <w:proofErr w:type="spellEnd"/>
            <w:r>
              <w:rPr>
                <w:sz w:val="20"/>
              </w:rPr>
              <w:t xml:space="preserve">, odnosno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predstavništva ili ogranka stranog pravnog lica kojim se potvrđuje da ponuđač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podnošenje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prijava nije </w:t>
            </w:r>
            <w:proofErr w:type="spellStart"/>
            <w:r>
              <w:rPr>
                <w:sz w:val="20"/>
              </w:rPr>
              <w:t>pravnosnažno</w:t>
            </w:r>
            <w:proofErr w:type="spellEnd"/>
            <w:r>
              <w:rPr>
                <w:sz w:val="20"/>
              </w:rPr>
              <w:t xml:space="preserve"> osuđen, osim ako </w:t>
            </w:r>
            <w:proofErr w:type="spellStart"/>
            <w:r>
              <w:rPr>
                <w:sz w:val="20"/>
              </w:rPr>
              <w:t>pravnosnažnom</w:t>
            </w:r>
            <w:proofErr w:type="spellEnd"/>
            <w:r>
              <w:rPr>
                <w:sz w:val="20"/>
              </w:rPr>
              <w:t xml:space="preserve"> presudom nije utvrđen drugi period zabrane učešća u postupku javne nabavke, i to za </w:t>
            </w:r>
            <w:proofErr w:type="spellStart"/>
            <w:r>
              <w:rPr>
                <w:sz w:val="20"/>
              </w:rPr>
              <w:t>sledeća</w:t>
            </w:r>
            <w:proofErr w:type="spellEnd"/>
            <w:r>
              <w:rPr>
                <w:sz w:val="20"/>
              </w:rPr>
              <w:t xml:space="preserve"> krivična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: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službenog položaja, ako </w:t>
            </w:r>
            <w:proofErr w:type="spellStart"/>
            <w:r>
              <w:rPr>
                <w:sz w:val="20"/>
              </w:rPr>
              <w:t>vrednost</w:t>
            </w:r>
            <w:proofErr w:type="spellEnd"/>
            <w:r>
              <w:rPr>
                <w:sz w:val="20"/>
              </w:rPr>
              <w:t xml:space="preserve"> pribavljene imovinske koristi prelazi 1.500.000,00 dinara;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trgovine ljudima (za oblike iz člana 388. st. 1, 5 i 7);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zasnivanja ropskog odnosa i </w:t>
            </w:r>
            <w:proofErr w:type="spellStart"/>
            <w:r>
              <w:rPr>
                <w:sz w:val="20"/>
              </w:rPr>
              <w:t>prevoza</w:t>
            </w:r>
            <w:proofErr w:type="spellEnd"/>
            <w:r>
              <w:rPr>
                <w:sz w:val="20"/>
              </w:rPr>
              <w:t xml:space="preserve"> lica u ropskom odnosu ako je izvršeno prema </w:t>
            </w:r>
            <w:proofErr w:type="spellStart"/>
            <w:r>
              <w:rPr>
                <w:sz w:val="20"/>
              </w:rPr>
              <w:t>maloletnom</w:t>
            </w:r>
            <w:proofErr w:type="spellEnd"/>
            <w:r>
              <w:rPr>
                <w:sz w:val="20"/>
              </w:rPr>
              <w:t xml:space="preserve"> licu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mita.</w:t>
            </w:r>
          </w:p>
          <w:p w:rsidR="00E45544" w:rsidRDefault="00E11B09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0"/>
              <w:ind w:right="93" w:firstLine="0"/>
              <w:rPr>
                <w:sz w:val="20"/>
              </w:rPr>
            </w:pPr>
            <w:r>
              <w:rPr>
                <w:sz w:val="20"/>
              </w:rPr>
              <w:t xml:space="preserve">Potvrda Posebnog </w:t>
            </w:r>
            <w:proofErr w:type="spellStart"/>
            <w:r>
              <w:rPr>
                <w:sz w:val="20"/>
              </w:rPr>
              <w:t>odeljenja</w:t>
            </w:r>
            <w:proofErr w:type="spellEnd"/>
            <w:r>
              <w:rPr>
                <w:sz w:val="20"/>
              </w:rPr>
              <w:t xml:space="preserve"> Višeg suda u Beogradu za </w:t>
            </w:r>
            <w:proofErr w:type="spellStart"/>
            <w:r>
              <w:rPr>
                <w:sz w:val="20"/>
              </w:rPr>
              <w:t>organizovani</w:t>
            </w:r>
            <w:proofErr w:type="spellEnd"/>
            <w:r>
              <w:rPr>
                <w:sz w:val="20"/>
              </w:rPr>
              <w:t xml:space="preserve"> kriminal kojim se potvrđuje da pravno lice ili </w:t>
            </w:r>
            <w:proofErr w:type="spellStart"/>
            <w:r>
              <w:rPr>
                <w:sz w:val="20"/>
              </w:rPr>
              <w:t>preduzetnik</w:t>
            </w:r>
            <w:proofErr w:type="spellEnd"/>
            <w:r>
              <w:rPr>
                <w:sz w:val="20"/>
              </w:rPr>
              <w:t xml:space="preserve"> nije osuđivano za neka od </w:t>
            </w:r>
            <w:proofErr w:type="spellStart"/>
            <w:r>
              <w:rPr>
                <w:sz w:val="20"/>
              </w:rPr>
              <w:t>sledećih</w:t>
            </w:r>
            <w:proofErr w:type="spellEnd"/>
            <w:r>
              <w:rPr>
                <w:sz w:val="20"/>
              </w:rPr>
              <w:t xml:space="preserve"> krivičnih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: krivična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organizovanog</w:t>
            </w:r>
            <w:proofErr w:type="spellEnd"/>
            <w:r>
              <w:rPr>
                <w:sz w:val="20"/>
              </w:rPr>
              <w:t xml:space="preserve"> kriminala;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udruživanja radi vršenja krivičnih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službenog</w:t>
            </w:r>
          </w:p>
        </w:tc>
      </w:tr>
    </w:tbl>
    <w:p w:rsidR="00E45544" w:rsidRDefault="00E45544">
      <w:pPr>
        <w:rPr>
          <w:sz w:val="20"/>
        </w:rPr>
        <w:sectPr w:rsidR="00E45544">
          <w:type w:val="continuous"/>
          <w:pgSz w:w="12480" w:h="16840"/>
          <w:pgMar w:top="7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11061"/>
        </w:trPr>
        <w:tc>
          <w:tcPr>
            <w:tcW w:w="2604" w:type="dxa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 xml:space="preserve">položaja, trgovine </w:t>
            </w:r>
            <w:proofErr w:type="spellStart"/>
            <w:r>
              <w:rPr>
                <w:sz w:val="20"/>
              </w:rPr>
              <w:t>uticajem</w:t>
            </w:r>
            <w:proofErr w:type="spellEnd"/>
            <w:r>
              <w:rPr>
                <w:sz w:val="20"/>
              </w:rPr>
              <w:t xml:space="preserve">, primanja mita i davanja mita ako je okrivljeni odnosno lice kojem se daje mito službeno ili odgovorno lice koje vrši funkciju na osnovu izbora, imenovanja ili postavljenja od strane Narodne skupštine, </w:t>
            </w:r>
            <w:proofErr w:type="spellStart"/>
            <w:r>
              <w:rPr>
                <w:sz w:val="20"/>
              </w:rPr>
              <w:t>predsednika</w:t>
            </w:r>
            <w:proofErr w:type="spellEnd"/>
            <w:r>
              <w:rPr>
                <w:sz w:val="20"/>
              </w:rPr>
              <w:t xml:space="preserve"> Republike, opšte </w:t>
            </w:r>
            <w:proofErr w:type="spellStart"/>
            <w:r>
              <w:rPr>
                <w:sz w:val="20"/>
              </w:rPr>
              <w:t>sednice</w:t>
            </w:r>
            <w:proofErr w:type="spellEnd"/>
            <w:r>
              <w:rPr>
                <w:sz w:val="20"/>
              </w:rPr>
              <w:t xml:space="preserve"> Vrhovnog kasacionog suda, Visokog </w:t>
            </w:r>
            <w:proofErr w:type="spellStart"/>
            <w:r>
              <w:rPr>
                <w:sz w:val="20"/>
              </w:rPr>
              <w:t>saveta</w:t>
            </w:r>
            <w:proofErr w:type="spellEnd"/>
            <w:r>
              <w:rPr>
                <w:sz w:val="20"/>
              </w:rPr>
              <w:t xml:space="preserve"> sudstva ili Državnog veća tužilaca; krivična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 protiv privrede, ako </w:t>
            </w:r>
            <w:proofErr w:type="spellStart"/>
            <w:r>
              <w:rPr>
                <w:sz w:val="20"/>
              </w:rPr>
              <w:t>vrednost</w:t>
            </w:r>
            <w:proofErr w:type="spellEnd"/>
            <w:r>
              <w:rPr>
                <w:sz w:val="20"/>
              </w:rPr>
              <w:t xml:space="preserve"> imovinske koristi prelazi 200.000.000 dinara, odnosno ako </w:t>
            </w:r>
            <w:proofErr w:type="spellStart"/>
            <w:r>
              <w:rPr>
                <w:sz w:val="20"/>
              </w:rPr>
              <w:t>vrednost</w:t>
            </w:r>
            <w:proofErr w:type="spellEnd"/>
            <w:r>
              <w:rPr>
                <w:sz w:val="20"/>
              </w:rPr>
              <w:t xml:space="preserve"> javne nabavke prelazi 800.000.000 dinara i to za: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u vezi sa javnim nabavkama,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primanja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davanja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prevare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položaja odgovornog lica,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pranja novca – u slučaju ako imovina koja je predmet pranja novca potiče iz svih navedenih krivičnih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javnog </w:t>
            </w:r>
            <w:proofErr w:type="spellStart"/>
            <w:r>
              <w:rPr>
                <w:sz w:val="20"/>
              </w:rPr>
              <w:t>podsticanja</w:t>
            </w:r>
            <w:proofErr w:type="spellEnd"/>
            <w:r>
              <w:rPr>
                <w:sz w:val="20"/>
              </w:rPr>
              <w:t xml:space="preserve"> na izvršenje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finansiranja</w:t>
            </w:r>
            <w:proofErr w:type="spellEnd"/>
            <w:r>
              <w:rPr>
                <w:sz w:val="20"/>
              </w:rPr>
              <w:t xml:space="preserve"> terorizma;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terorizma;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vrbovanja i obučavanja za 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terorističkog udruživanja.</w:t>
            </w:r>
          </w:p>
          <w:p w:rsidR="00E45544" w:rsidRDefault="00E11B09">
            <w:pPr>
              <w:pStyle w:val="TableParagraph"/>
              <w:spacing w:before="0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4) Potvrda Posebnog </w:t>
            </w:r>
            <w:proofErr w:type="spellStart"/>
            <w:r>
              <w:rPr>
                <w:sz w:val="20"/>
              </w:rPr>
              <w:t>odeljenja</w:t>
            </w:r>
            <w:proofErr w:type="spellEnd"/>
            <w:r>
              <w:rPr>
                <w:sz w:val="20"/>
              </w:rPr>
              <w:t xml:space="preserve"> viših sudova u Beogradu, Novom Sadu, Nišu i Kraljevu za suzbijanje korupcije, kojim se potvrđuje da pravno lice ili </w:t>
            </w:r>
            <w:proofErr w:type="spellStart"/>
            <w:r>
              <w:rPr>
                <w:sz w:val="20"/>
              </w:rPr>
              <w:t>preduzetnik</w:t>
            </w:r>
            <w:proofErr w:type="spellEnd"/>
            <w:r>
              <w:rPr>
                <w:sz w:val="20"/>
              </w:rPr>
              <w:t xml:space="preserve"> nije osuđivano za neka od </w:t>
            </w:r>
            <w:proofErr w:type="spellStart"/>
            <w:r>
              <w:rPr>
                <w:sz w:val="20"/>
              </w:rPr>
              <w:t>sledećih</w:t>
            </w:r>
            <w:proofErr w:type="spellEnd"/>
            <w:r>
              <w:rPr>
                <w:sz w:val="20"/>
              </w:rPr>
              <w:t xml:space="preserve"> krivičnih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: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primanje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davanje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zloupotreba u vezi sa javnim nabavkama;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prevare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zloupotrebe položaja odgovornog lica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pranja novca.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Zakonski zastupnici i fizička lica: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1) Izvod iz kaznene evidencije, odnosno </w:t>
            </w:r>
            <w:proofErr w:type="spellStart"/>
            <w:r>
              <w:rPr>
                <w:sz w:val="20"/>
              </w:rPr>
              <w:t>uverenje</w:t>
            </w:r>
            <w:proofErr w:type="spellEnd"/>
            <w:r>
              <w:rPr>
                <w:sz w:val="20"/>
              </w:rPr>
              <w:t xml:space="preserve"> nadležne policijske uprave MUP-a, kojim se potvrđuje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 zakonski zastupnik ili fizičko lice nije osuđivao za </w:t>
            </w:r>
            <w:proofErr w:type="spellStart"/>
            <w:r>
              <w:rPr>
                <w:sz w:val="20"/>
              </w:rPr>
              <w:t>sledeća</w:t>
            </w:r>
            <w:proofErr w:type="spellEnd"/>
            <w:r>
              <w:rPr>
                <w:sz w:val="20"/>
              </w:rPr>
              <w:t xml:space="preserve"> krivična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>:</w:t>
            </w:r>
          </w:p>
          <w:p w:rsidR="00E45544" w:rsidRDefault="00E11B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0"/>
              <w:ind w:right="309" w:firstLine="0"/>
              <w:rPr>
                <w:sz w:val="20"/>
              </w:rPr>
            </w:pPr>
            <w:r>
              <w:rPr>
                <w:sz w:val="20"/>
              </w:rPr>
              <w:t xml:space="preserve">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koje je izvršilo kao član </w:t>
            </w:r>
            <w:proofErr w:type="spellStart"/>
            <w:r>
              <w:rPr>
                <w:sz w:val="20"/>
              </w:rPr>
              <w:t>organizovane</w:t>
            </w:r>
            <w:proofErr w:type="spellEnd"/>
            <w:r>
              <w:rPr>
                <w:sz w:val="20"/>
              </w:rPr>
              <w:t xml:space="preserve"> kriminalne grupe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udruživanje radi vršenja krivičnih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>;</w:t>
            </w:r>
          </w:p>
          <w:p w:rsidR="00E45544" w:rsidRDefault="00E11B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0"/>
              <w:ind w:right="262" w:firstLine="0"/>
              <w:rPr>
                <w:sz w:val="20"/>
              </w:rPr>
            </w:pPr>
            <w:r>
              <w:rPr>
                <w:sz w:val="20"/>
              </w:rPr>
              <w:t xml:space="preserve">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zloupotreba položaja odgovornog lica,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zloupotreba u vezi sa javnom nabavkom,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primanje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davanje mita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zloupotreba službenog položaja,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trgovina </w:t>
            </w:r>
            <w:proofErr w:type="spellStart"/>
            <w:r>
              <w:rPr>
                <w:sz w:val="20"/>
              </w:rPr>
              <w:t>uticajem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primanje mita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davanje mita;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neosnovano </w:t>
            </w:r>
            <w:proofErr w:type="spellStart"/>
            <w:r>
              <w:rPr>
                <w:sz w:val="20"/>
              </w:rPr>
              <w:t>dobijanje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korišćenje</w:t>
            </w:r>
            <w:proofErr w:type="spellEnd"/>
            <w:r>
              <w:rPr>
                <w:sz w:val="20"/>
              </w:rPr>
              <w:t xml:space="preserve"> kredita i druge pogodnosti,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prevara u obavljanju privredne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poreska utaja;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terorizam,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javno </w:t>
            </w:r>
            <w:proofErr w:type="spellStart"/>
            <w:r>
              <w:rPr>
                <w:sz w:val="20"/>
              </w:rPr>
              <w:t>podsticanje</w:t>
            </w:r>
            <w:proofErr w:type="spellEnd"/>
            <w:r>
              <w:rPr>
                <w:sz w:val="20"/>
              </w:rPr>
              <w:t xml:space="preserve"> na izvršenje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vrbovanje i obučavanje za vršenje terorističkih </w:t>
            </w:r>
            <w:proofErr w:type="spellStart"/>
            <w:r>
              <w:rPr>
                <w:sz w:val="20"/>
              </w:rPr>
              <w:t>dela</w:t>
            </w:r>
            <w:proofErr w:type="spellEnd"/>
            <w:r>
              <w:rPr>
                <w:sz w:val="20"/>
              </w:rPr>
              <w:t xml:space="preserve">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terorističko udruživanje;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pranje novca,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finansiranje</w:t>
            </w:r>
            <w:proofErr w:type="spellEnd"/>
            <w:r>
              <w:rPr>
                <w:sz w:val="20"/>
              </w:rPr>
              <w:t xml:space="preserve"> terorizma;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trgovina ljudima i krivično </w:t>
            </w:r>
            <w:proofErr w:type="spellStart"/>
            <w:r>
              <w:rPr>
                <w:sz w:val="20"/>
              </w:rPr>
              <w:t>delo</w:t>
            </w:r>
            <w:proofErr w:type="spellEnd"/>
            <w:r>
              <w:rPr>
                <w:sz w:val="20"/>
              </w:rPr>
              <w:t xml:space="preserve"> zasnivanje ropskog odnosa i </w:t>
            </w:r>
            <w:proofErr w:type="spellStart"/>
            <w:r>
              <w:rPr>
                <w:sz w:val="20"/>
              </w:rPr>
              <w:t>prevoz</w:t>
            </w:r>
            <w:proofErr w:type="spellEnd"/>
            <w:r>
              <w:rPr>
                <w:sz w:val="20"/>
              </w:rPr>
              <w:t xml:space="preserve"> lica u ropskom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odnosu.</w:t>
            </w:r>
          </w:p>
          <w:p w:rsidR="00E45544" w:rsidRDefault="00E11B09">
            <w:pPr>
              <w:pStyle w:val="TableParagraph"/>
              <w:spacing w:before="0"/>
              <w:ind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Zahtev</w:t>
            </w:r>
            <w:proofErr w:type="spellEnd"/>
            <w:r>
              <w:rPr>
                <w:sz w:val="20"/>
              </w:rPr>
              <w:t xml:space="preserve"> se može </w:t>
            </w:r>
            <w:proofErr w:type="spellStart"/>
            <w:r>
              <w:rPr>
                <w:sz w:val="20"/>
              </w:rPr>
              <w:t>podneti</w:t>
            </w:r>
            <w:proofErr w:type="spellEnd"/>
            <w:r>
              <w:rPr>
                <w:sz w:val="20"/>
              </w:rPr>
              <w:t xml:space="preserve"> prema </w:t>
            </w:r>
            <w:proofErr w:type="spellStart"/>
            <w:r>
              <w:rPr>
                <w:sz w:val="20"/>
              </w:rPr>
              <w:t>mestu</w:t>
            </w:r>
            <w:proofErr w:type="spellEnd"/>
            <w:r>
              <w:rPr>
                <w:sz w:val="20"/>
              </w:rPr>
              <w:t xml:space="preserve"> rođenja ili prema </w:t>
            </w:r>
            <w:proofErr w:type="spellStart"/>
            <w:r>
              <w:rPr>
                <w:sz w:val="20"/>
              </w:rPr>
              <w:t>mestu</w:t>
            </w:r>
            <w:proofErr w:type="spellEnd"/>
            <w:r>
              <w:rPr>
                <w:sz w:val="20"/>
              </w:rPr>
              <w:t xml:space="preserve"> prebivališta zakonskog zastupnika ili fizičkog lica. Ukoliko ponuđač ima više zakonskih zastupnika dužan je da dostavi dokaz za svakog od njih. Privredni subjekt koji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u drugoj državi:</w:t>
            </w:r>
          </w:p>
          <w:p w:rsidR="00E45544" w:rsidRDefault="00E11B09">
            <w:pPr>
              <w:pStyle w:val="TableParagraph"/>
              <w:spacing w:before="0"/>
              <w:ind w:right="91"/>
              <w:rPr>
                <w:sz w:val="20"/>
              </w:rPr>
            </w:pPr>
            <w:r>
              <w:rPr>
                <w:sz w:val="20"/>
              </w:rPr>
              <w:t xml:space="preserve">Ako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u drugoj državi kao dokaz da ne postoji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 naručilac će prihvatiti izvod iz kaznene evidencije ili drugog odgovarajućeg registra ili, ako to nije moguće, odgovarajući dokument nadležnog sudskog ili upravnog organa u državi </w:t>
            </w:r>
            <w:proofErr w:type="spellStart"/>
            <w:r>
              <w:rPr>
                <w:sz w:val="20"/>
              </w:rPr>
              <w:t>sedišta</w:t>
            </w:r>
            <w:proofErr w:type="spellEnd"/>
            <w:r>
              <w:rPr>
                <w:sz w:val="20"/>
              </w:rPr>
              <w:t xml:space="preserve"> privrednog subjekta, odnosno državi čije je lice državljanin. Ako se u državi u kojoj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, odnosno državi čiji je lice državljanin ne izdaju navedeni dokazi ili ako dokazi ne </w:t>
            </w:r>
            <w:proofErr w:type="spellStart"/>
            <w:r>
              <w:rPr>
                <w:sz w:val="20"/>
              </w:rPr>
              <w:t>obuhvataju</w:t>
            </w:r>
            <w:proofErr w:type="spellEnd"/>
            <w:r>
              <w:rPr>
                <w:sz w:val="20"/>
              </w:rPr>
              <w:t xml:space="preserve"> sve podatke u vezi sa nepostojanjem osnova za isključenje, privredni subjekt može da, </w:t>
            </w:r>
            <w:proofErr w:type="spellStart"/>
            <w:r>
              <w:rPr>
                <w:sz w:val="20"/>
              </w:rPr>
              <w:t>umesto</w:t>
            </w:r>
            <w:proofErr w:type="spellEnd"/>
            <w:r>
              <w:rPr>
                <w:sz w:val="20"/>
              </w:rPr>
              <w:t xml:space="preserve"> dokaza, dostavi svoju pisanu izjavu datu pod krivičnom i materijalnom odgovornošću, </w:t>
            </w:r>
            <w:proofErr w:type="spellStart"/>
            <w:r>
              <w:rPr>
                <w:sz w:val="20"/>
              </w:rPr>
              <w:t>overenu</w:t>
            </w:r>
            <w:proofErr w:type="spellEnd"/>
            <w:r>
              <w:rPr>
                <w:sz w:val="20"/>
              </w:rPr>
              <w:t xml:space="preserve"> pred sudskim ili upravnim organom, javnim </w:t>
            </w:r>
            <w:proofErr w:type="spellStart"/>
            <w:r>
              <w:rPr>
                <w:sz w:val="20"/>
              </w:rPr>
              <w:t>beležnikom</w:t>
            </w:r>
            <w:proofErr w:type="spellEnd"/>
            <w:r>
              <w:rPr>
                <w:sz w:val="20"/>
              </w:rPr>
              <w:t xml:space="preserve"> ili drugim nadležnim organom te države, u kojoj se navodi da ne postoje navedeni osnovi za isključenje privrednog subjekta.</w:t>
            </w:r>
          </w:p>
        </w:tc>
      </w:tr>
      <w:tr w:rsidR="00E45544">
        <w:trPr>
          <w:trHeight w:val="807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sam privredni subjekt ili njegov zakonski zastupnik osuđen za jedno ili više krivičnih </w:t>
            </w:r>
            <w:proofErr w:type="spellStart"/>
            <w:r>
              <w:rPr>
                <w:i/>
                <w:sz w:val="20"/>
              </w:rPr>
              <w:t>dela</w:t>
            </w:r>
            <w:proofErr w:type="spellEnd"/>
            <w:r>
              <w:rPr>
                <w:i/>
                <w:sz w:val="20"/>
              </w:rPr>
              <w:t xml:space="preserve">, pravosnažnom presudom donesenom pre najviše pet godina ili duže, ako je pravosnažnom presudom utvrđen duži period zabrane učešća u postupku javne nabavke koji se i dalje </w:t>
            </w:r>
            <w:proofErr w:type="spellStart"/>
            <w:r>
              <w:rPr>
                <w:i/>
                <w:sz w:val="20"/>
              </w:rPr>
              <w:t>primenjuje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5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 Porezi i doprinosi</w:t>
            </w:r>
          </w:p>
        </w:tc>
      </w:tr>
      <w:tr w:rsidR="00E45544">
        <w:trPr>
          <w:trHeight w:val="1052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 xml:space="preserve">Član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2)-Naručilac je dužan da isključi privrednog subjekta iz postupka javne nabavke ako privredni subjekt ne dokaže da je izmirio </w:t>
            </w:r>
            <w:proofErr w:type="spellStart"/>
            <w:r>
              <w:rPr>
                <w:sz w:val="20"/>
              </w:rPr>
              <w:t>dospele</w:t>
            </w:r>
            <w:proofErr w:type="spellEnd"/>
            <w:r>
              <w:rPr>
                <w:sz w:val="20"/>
              </w:rPr>
              <w:t xml:space="preserve"> poreze i doprinose za obavezno socijalno osiguranje ili da mu je obavezujućim sporazumom ili rešenjem, u skladu sa posebnim propisom, odobreno odlaganje plaćanja duga, uključujući sve nastale kamate i novčane kazne.</w:t>
            </w:r>
          </w:p>
        </w:tc>
      </w:tr>
      <w:tr w:rsidR="00E45544">
        <w:trPr>
          <w:trHeight w:val="1540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</w:tc>
      </w:tr>
    </w:tbl>
    <w:p w:rsidR="00E45544" w:rsidRDefault="00E45544">
      <w:pPr>
        <w:rPr>
          <w:sz w:val="20"/>
        </w:rPr>
        <w:sectPr w:rsidR="00E45544">
          <w:pgSz w:w="12480" w:h="16840"/>
          <w:pgMar w:top="5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4714"/>
        </w:trPr>
        <w:tc>
          <w:tcPr>
            <w:tcW w:w="2604" w:type="dxa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 xml:space="preserve">Smatra se da privredni subjekt koji je upisan u registar ponuđača nema osnova za isključenje iz člana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>. 2) Zakona o javnim nabavkama.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Nepostojanje ovog osnova za isključenje dokazuje se </w:t>
            </w:r>
            <w:proofErr w:type="spellStart"/>
            <w:r>
              <w:rPr>
                <w:sz w:val="20"/>
              </w:rPr>
              <w:t>sledećim</w:t>
            </w:r>
            <w:proofErr w:type="spellEnd"/>
            <w:r>
              <w:rPr>
                <w:sz w:val="20"/>
              </w:rPr>
              <w:t xml:space="preserve"> dokazima:</w:t>
            </w:r>
          </w:p>
          <w:p w:rsidR="00E45544" w:rsidRDefault="00E11B0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0"/>
              <w:ind w:right="48" w:firstLine="0"/>
              <w:rPr>
                <w:sz w:val="20"/>
              </w:rPr>
            </w:pPr>
            <w:r>
              <w:rPr>
                <w:sz w:val="20"/>
              </w:rPr>
              <w:t xml:space="preserve">Potvrda nadležnog poreskog organa da je ponuđač izmirio </w:t>
            </w:r>
            <w:proofErr w:type="spellStart"/>
            <w:r>
              <w:rPr>
                <w:sz w:val="20"/>
              </w:rPr>
              <w:t>dospele</w:t>
            </w:r>
            <w:proofErr w:type="spellEnd"/>
            <w:r>
              <w:rPr>
                <w:sz w:val="20"/>
              </w:rPr>
              <w:t xml:space="preserve"> poreze i doprinose za obavezno socijalno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obavezujućim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sporazumom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rešenjem,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propisom, odobreno odlaganje plaćanja duga, uključujući sve nastale kamate i novčane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kazne.</w:t>
            </w:r>
          </w:p>
          <w:p w:rsidR="00E45544" w:rsidRDefault="00E11B0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0"/>
              <w:ind w:right="487" w:firstLine="0"/>
              <w:rPr>
                <w:sz w:val="20"/>
              </w:rPr>
            </w:pPr>
            <w:r>
              <w:rPr>
                <w:sz w:val="20"/>
              </w:rPr>
              <w:t xml:space="preserve">Potvrda nadležnog poreskog organa lokalne samouprave da je ponuđač izmirio </w:t>
            </w:r>
            <w:proofErr w:type="spellStart"/>
            <w:r>
              <w:rPr>
                <w:sz w:val="20"/>
              </w:rPr>
              <w:t>dospele</w:t>
            </w:r>
            <w:proofErr w:type="spellEnd"/>
            <w:r>
              <w:rPr>
                <w:sz w:val="20"/>
              </w:rPr>
              <w:t xml:space="preserve"> obaveze javnih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obavezujućim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sporazumom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rešenjem,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propisom, odobreno odlaganje plaćanja duga, uključujući sve nastale kamate i novčane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kazne.</w:t>
            </w:r>
          </w:p>
          <w:p w:rsidR="00E45544" w:rsidRDefault="00E11B09">
            <w:pPr>
              <w:pStyle w:val="TableParagraph"/>
              <w:spacing w:before="0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Pravno lice koje se nalazi u postupku privatizacije, </w:t>
            </w:r>
            <w:proofErr w:type="spellStart"/>
            <w:r>
              <w:rPr>
                <w:sz w:val="20"/>
              </w:rPr>
              <w:t>umesto</w:t>
            </w:r>
            <w:proofErr w:type="spellEnd"/>
            <w:r>
              <w:rPr>
                <w:sz w:val="20"/>
              </w:rPr>
              <w:t xml:space="preserve"> dokaza iz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>. 1) i 2), prilaže potvrdu Agencije za privatizaciju da se nalazi u postupku privatizacije.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Privredni subjekt koji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u drugoj državi:</w:t>
            </w:r>
          </w:p>
          <w:p w:rsidR="00E45544" w:rsidRDefault="00E11B09">
            <w:pPr>
              <w:pStyle w:val="TableParagraph"/>
              <w:spacing w:before="0"/>
              <w:ind w:right="4"/>
              <w:rPr>
                <w:sz w:val="20"/>
              </w:rPr>
            </w:pPr>
            <w:r>
              <w:rPr>
                <w:sz w:val="20"/>
              </w:rPr>
              <w:t xml:space="preserve">Ako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u drugoj državi kao dokaz da ne postoje osnovi za isključenje naručilac će prihvatiti potvrdu nadležnog organa u državi </w:t>
            </w:r>
            <w:proofErr w:type="spellStart"/>
            <w:r>
              <w:rPr>
                <w:sz w:val="20"/>
              </w:rPr>
              <w:t>sedišta</w:t>
            </w:r>
            <w:proofErr w:type="spellEnd"/>
            <w:r>
              <w:rPr>
                <w:sz w:val="20"/>
              </w:rPr>
              <w:t xml:space="preserve"> privrednog subjekta. Ako se u državi u kojoj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, odnosno državi čiji je lice državljanin ne izdaju navedeni dokazi ili ako dokazi ne </w:t>
            </w:r>
            <w:proofErr w:type="spellStart"/>
            <w:r>
              <w:rPr>
                <w:sz w:val="20"/>
              </w:rPr>
              <w:t>obuhvataju</w:t>
            </w:r>
            <w:proofErr w:type="spellEnd"/>
            <w:r>
              <w:rPr>
                <w:sz w:val="20"/>
              </w:rPr>
              <w:t xml:space="preserve"> sve podatke u vezi sa nepostojanjem osnova za isključenje, privredni subjekt može da, </w:t>
            </w:r>
            <w:proofErr w:type="spellStart"/>
            <w:r>
              <w:rPr>
                <w:sz w:val="20"/>
              </w:rPr>
              <w:t>umesto</w:t>
            </w:r>
            <w:proofErr w:type="spellEnd"/>
            <w:r>
              <w:rPr>
                <w:sz w:val="20"/>
              </w:rPr>
              <w:t xml:space="preserve"> dokaza, dostavi svoju pisanu izjavu datu pod krivičnom i materijalnom odgovornošću, </w:t>
            </w:r>
            <w:proofErr w:type="spellStart"/>
            <w:r>
              <w:rPr>
                <w:sz w:val="20"/>
              </w:rPr>
              <w:t>overenu</w:t>
            </w:r>
            <w:proofErr w:type="spellEnd"/>
            <w:r>
              <w:rPr>
                <w:sz w:val="20"/>
              </w:rPr>
              <w:t xml:space="preserve"> pred sudskim ili upravnim organom, javnim </w:t>
            </w:r>
            <w:proofErr w:type="spellStart"/>
            <w:r>
              <w:rPr>
                <w:sz w:val="20"/>
              </w:rPr>
              <w:t>beležnikom</w:t>
            </w:r>
            <w:proofErr w:type="spellEnd"/>
            <w:r>
              <w:rPr>
                <w:sz w:val="20"/>
              </w:rPr>
              <w:t xml:space="preserve"> ili drugim nadležnim organom te države, u kojoj se navodi da ne postoje navedeni osnovi za isključenje privrednog subjekta.</w:t>
            </w:r>
          </w:p>
        </w:tc>
      </w:tr>
    </w:tbl>
    <w:p w:rsidR="00E45544" w:rsidRDefault="00E45544">
      <w:pPr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E45544">
        <w:trPr>
          <w:trHeight w:val="337"/>
        </w:trPr>
        <w:tc>
          <w:tcPr>
            <w:tcW w:w="2597" w:type="dxa"/>
            <w:shd w:val="clear" w:color="auto" w:fill="F4F4F4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shd w:val="clear" w:color="auto" w:fill="F4F4F4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Pitanje u izjavi</w:t>
            </w:r>
          </w:p>
        </w:tc>
      </w:tr>
      <w:tr w:rsidR="00E45544">
        <w:trPr>
          <w:trHeight w:val="337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Porezi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 izmirio sve svoje </w:t>
            </w:r>
            <w:proofErr w:type="spellStart"/>
            <w:r>
              <w:rPr>
                <w:i/>
                <w:sz w:val="20"/>
              </w:rPr>
              <w:t>dospele</w:t>
            </w:r>
            <w:proofErr w:type="spellEnd"/>
            <w:r>
              <w:rPr>
                <w:i/>
                <w:sz w:val="20"/>
              </w:rPr>
              <w:t xml:space="preserve"> obaveze poreza?</w:t>
            </w:r>
          </w:p>
        </w:tc>
      </w:tr>
      <w:tr w:rsidR="00E45544">
        <w:trPr>
          <w:trHeight w:val="337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Doprinosi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 izmirio sve svoje </w:t>
            </w:r>
            <w:proofErr w:type="spellStart"/>
            <w:r>
              <w:rPr>
                <w:i/>
                <w:sz w:val="20"/>
              </w:rPr>
              <w:t>dospele</w:t>
            </w:r>
            <w:proofErr w:type="spellEnd"/>
            <w:r>
              <w:rPr>
                <w:i/>
                <w:sz w:val="20"/>
              </w:rPr>
              <w:t xml:space="preserve"> obaveze doprinosa za obavezno socijalno osiguranje?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1.3. Obaveze u oblasti zaštite životne sredine, socijalnog i radnog prava</w:t>
            </w:r>
          </w:p>
        </w:tc>
      </w:tr>
      <w:tr w:rsidR="00E45544">
        <w:trPr>
          <w:trHeight w:val="1540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 xml:space="preserve">Član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3)-Naručilac je dužan da isključi privrednog subjekta iz postupka javne nabavke ako utvrdi da je privredni subjekt u periodu od prethodne </w:t>
            </w:r>
            <w:proofErr w:type="spellStart"/>
            <w:r>
              <w:rPr>
                <w:sz w:val="20"/>
              </w:rPr>
              <w:t>dve</w:t>
            </w:r>
            <w:proofErr w:type="spellEnd"/>
            <w:r>
              <w:rPr>
                <w:sz w:val="20"/>
              </w:rPr>
              <w:t xml:space="preserve"> godine od dana isteka roka za podnošenje ponuda, odnosno prijava, </w:t>
            </w:r>
            <w:proofErr w:type="spellStart"/>
            <w:r>
              <w:rPr>
                <w:sz w:val="20"/>
              </w:rPr>
              <w:t>povredio</w:t>
            </w:r>
            <w:proofErr w:type="spellEnd"/>
            <w:r>
              <w:rPr>
                <w:sz w:val="20"/>
              </w:rPr>
              <w:t xml:space="preserve"> obaveze u oblasti zaštite životne sredine, socijalnog i radnog prava, uključujući kolektivne ugovore, a naročito obavezu isplate ugovorene zarade ili drugih obaveznih isplata, uključujući i obaveze u skladu s odredbama međunarodnih konvencija koje su navedene u Prilogu 8.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Zakona o javnim nabavkama.</w:t>
            </w:r>
          </w:p>
        </w:tc>
      </w:tr>
      <w:tr w:rsidR="00E45544">
        <w:trPr>
          <w:trHeight w:val="1784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Nepostojanje ovog osnova za isključenje dokazuje se:</w:t>
            </w:r>
          </w:p>
        </w:tc>
      </w:tr>
    </w:tbl>
    <w:p w:rsidR="00E45544" w:rsidRDefault="00E45544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E45544">
        <w:trPr>
          <w:trHeight w:val="337"/>
        </w:trPr>
        <w:tc>
          <w:tcPr>
            <w:tcW w:w="2597" w:type="dxa"/>
            <w:shd w:val="clear" w:color="auto" w:fill="F4F4F4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shd w:val="clear" w:color="auto" w:fill="F4F4F4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Pitanje u izjavi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 životne sredine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subjekt, prema svom saznanju, </w:t>
            </w:r>
            <w:proofErr w:type="spellStart"/>
            <w:r>
              <w:rPr>
                <w:i/>
                <w:sz w:val="20"/>
              </w:rPr>
              <w:t>povredio</w:t>
            </w:r>
            <w:proofErr w:type="spellEnd"/>
            <w:r>
              <w:rPr>
                <w:i/>
                <w:sz w:val="20"/>
              </w:rPr>
              <w:t xml:space="preserve"> obaveze u oblasti zaštite životne sredine?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 socijalnog prava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subjekt, prema svom saznanju, </w:t>
            </w:r>
            <w:proofErr w:type="spellStart"/>
            <w:r>
              <w:rPr>
                <w:i/>
                <w:sz w:val="20"/>
              </w:rPr>
              <w:t>povredio</w:t>
            </w:r>
            <w:proofErr w:type="spellEnd"/>
            <w:r>
              <w:rPr>
                <w:i/>
                <w:sz w:val="20"/>
              </w:rPr>
              <w:t xml:space="preserve"> obaveze u oblasti socijalnog prava?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 radnog prava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subjekt, prema svom saznanju, </w:t>
            </w:r>
            <w:proofErr w:type="spellStart"/>
            <w:r>
              <w:rPr>
                <w:i/>
                <w:sz w:val="20"/>
              </w:rPr>
              <w:t>povredio</w:t>
            </w:r>
            <w:proofErr w:type="spellEnd"/>
            <w:r>
              <w:rPr>
                <w:i/>
                <w:sz w:val="20"/>
              </w:rPr>
              <w:t xml:space="preserve"> obaveze u oblasti radnog prava?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1.4. Sukob interesa</w:t>
            </w:r>
          </w:p>
        </w:tc>
      </w:tr>
      <w:tr w:rsidR="00E45544">
        <w:trPr>
          <w:trHeight w:val="563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Član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4)-Naručilac je dužan da isključi privrednog subjekta iz postupka javne nabavke ako postoji sukob interesa, u smislu Zakona o javnim nabavkama, koji ne može da se otkloni drugim </w:t>
            </w:r>
            <w:proofErr w:type="spellStart"/>
            <w:r>
              <w:rPr>
                <w:sz w:val="20"/>
              </w:rPr>
              <w:t>merama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5544">
        <w:trPr>
          <w:trHeight w:val="1540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14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</w:tc>
      </w:tr>
    </w:tbl>
    <w:p w:rsidR="00E45544" w:rsidRDefault="00E45544">
      <w:pPr>
        <w:rPr>
          <w:sz w:val="20"/>
        </w:rPr>
        <w:sectPr w:rsidR="00E45544">
          <w:pgSz w:w="12480" w:h="16840"/>
          <w:pgMar w:top="5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37"/>
        </w:trPr>
        <w:tc>
          <w:tcPr>
            <w:tcW w:w="2604" w:type="dxa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Nepostojanje ovog osnova za isključenje dokazuje se:</w:t>
            </w:r>
          </w:p>
        </w:tc>
      </w:tr>
      <w:tr w:rsidR="00E45544">
        <w:trPr>
          <w:trHeight w:val="563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 </w:t>
            </w:r>
            <w:proofErr w:type="spellStart"/>
            <w:r>
              <w:rPr>
                <w:i/>
                <w:sz w:val="20"/>
              </w:rPr>
              <w:t>svestan</w:t>
            </w:r>
            <w:proofErr w:type="spellEnd"/>
            <w:r>
              <w:rPr>
                <w:i/>
                <w:sz w:val="20"/>
              </w:rPr>
              <w:t xml:space="preserve"> nekog sukoba interesa zbog svog učestvovanja u postupku javne nabavke?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5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1.5. </w:t>
            </w:r>
            <w:proofErr w:type="spellStart"/>
            <w:r>
              <w:rPr>
                <w:b/>
                <w:sz w:val="24"/>
              </w:rPr>
              <w:t>Neprimeren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uticaj</w:t>
            </w:r>
            <w:proofErr w:type="spellEnd"/>
            <w:r>
              <w:rPr>
                <w:b/>
                <w:sz w:val="24"/>
              </w:rPr>
              <w:t xml:space="preserve"> na postupak</w:t>
            </w:r>
          </w:p>
        </w:tc>
      </w:tr>
      <w:tr w:rsidR="00E45544">
        <w:trPr>
          <w:trHeight w:val="1296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 xml:space="preserve">Član 111.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5)-Naručilac je dužan da isključi privrednog subjekta iz postupka javne nabavke ako utvrdi da je privredni subjekt pokušao da izvrši </w:t>
            </w:r>
            <w:proofErr w:type="spellStart"/>
            <w:r>
              <w:rPr>
                <w:sz w:val="20"/>
              </w:rPr>
              <w:t>neprimeren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uticaj</w:t>
            </w:r>
            <w:proofErr w:type="spellEnd"/>
            <w:r>
              <w:rPr>
                <w:sz w:val="20"/>
              </w:rPr>
              <w:t xml:space="preserve"> na postupak odlučivanja naručioca ili da dođe do </w:t>
            </w:r>
            <w:proofErr w:type="spellStart"/>
            <w:r>
              <w:rPr>
                <w:sz w:val="20"/>
              </w:rPr>
              <w:t>poverljivih</w:t>
            </w:r>
            <w:proofErr w:type="spellEnd"/>
            <w:r>
              <w:rPr>
                <w:sz w:val="20"/>
              </w:rPr>
              <w:t xml:space="preserve"> podataka koji bi mogli da mu omoguće prednost u postupku javne nabavke ili je dostavio obmanjujuće podatke koji mogu da utiču na odluke koje se tiču isključenja privrednog subjekta, izbora privrednog subjekta ili </w:t>
            </w:r>
            <w:proofErr w:type="spellStart"/>
            <w:r>
              <w:rPr>
                <w:sz w:val="20"/>
              </w:rPr>
              <w:t>dodele</w:t>
            </w:r>
            <w:proofErr w:type="spellEnd"/>
            <w:r>
              <w:rPr>
                <w:sz w:val="20"/>
              </w:rPr>
              <w:t xml:space="preserve"> ugovora.</w:t>
            </w:r>
          </w:p>
        </w:tc>
      </w:tr>
      <w:tr w:rsidR="00E45544">
        <w:trPr>
          <w:trHeight w:val="1784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Nepostojanje ovog osnova za isključenje dokazuje se:</w:t>
            </w:r>
          </w:p>
        </w:tc>
      </w:tr>
      <w:tr w:rsidR="00E45544">
        <w:trPr>
          <w:trHeight w:val="1052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1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privredni subjekt može da potvrdi da nije pokušao da izvrši </w:t>
            </w:r>
            <w:proofErr w:type="spellStart"/>
            <w:r>
              <w:rPr>
                <w:i/>
                <w:sz w:val="20"/>
              </w:rPr>
              <w:t>neprimeren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uticaj</w:t>
            </w:r>
            <w:proofErr w:type="spellEnd"/>
            <w:r>
              <w:rPr>
                <w:i/>
                <w:sz w:val="20"/>
              </w:rPr>
              <w:t xml:space="preserve"> na postupak odlučivanja naručioca, došao do </w:t>
            </w:r>
            <w:proofErr w:type="spellStart"/>
            <w:r>
              <w:rPr>
                <w:i/>
                <w:sz w:val="20"/>
              </w:rPr>
              <w:t>poverljivih</w:t>
            </w:r>
            <w:proofErr w:type="spellEnd"/>
            <w:r>
              <w:rPr>
                <w:i/>
                <w:sz w:val="20"/>
              </w:rPr>
              <w:t xml:space="preserve"> podataka koji bi mogli da mu omoguće prednost u postupku javne nabavke ili je dostavio obmanjujuće podatke koji mogu da utiču na odluke koje se tiču isključenja privrednog subjekta, izbora privrednog subjekta ili </w:t>
            </w:r>
            <w:proofErr w:type="spellStart"/>
            <w:r>
              <w:rPr>
                <w:i/>
                <w:sz w:val="20"/>
              </w:rPr>
              <w:t>dodele</w:t>
            </w:r>
            <w:proofErr w:type="spellEnd"/>
            <w:r>
              <w:rPr>
                <w:i/>
                <w:sz w:val="20"/>
              </w:rPr>
              <w:t xml:space="preserve"> ugovora?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8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1.6. Stečaj, nemogućnost plaćanja, likvidacija i dr.</w:t>
            </w:r>
          </w:p>
        </w:tc>
      </w:tr>
      <w:tr w:rsidR="00E45544">
        <w:trPr>
          <w:trHeight w:val="1540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 xml:space="preserve">Član 112.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>. 1)-Naručilac može u dokumentaciji o nabavci da predvidi da će da isključi privrednog subjekta iz postupka javne nabavke u svakom trenutku ako utvrdi da je privredni subjekt u stečaju, da je nesposoban za plaćanje ili je u postupku likvidacije, da njegovom imovinom upravlja stečajni (</w:t>
            </w:r>
            <w:proofErr w:type="spellStart"/>
            <w:r>
              <w:rPr>
                <w:sz w:val="20"/>
              </w:rPr>
              <w:t>likvidacioni</w:t>
            </w:r>
            <w:proofErr w:type="spellEnd"/>
            <w:r>
              <w:rPr>
                <w:sz w:val="20"/>
              </w:rPr>
              <w:t xml:space="preserve">) upravnik ili sud, da je u aranžmanu pogodbe sa </w:t>
            </w:r>
            <w:proofErr w:type="spellStart"/>
            <w:r>
              <w:rPr>
                <w:sz w:val="20"/>
              </w:rPr>
              <w:t>poveriocima</w:t>
            </w:r>
            <w:proofErr w:type="spellEnd"/>
            <w:r>
              <w:rPr>
                <w:sz w:val="20"/>
              </w:rPr>
              <w:t xml:space="preserve">, da je prestao da obavlja poslovnu </w:t>
            </w:r>
            <w:proofErr w:type="spellStart"/>
            <w:r>
              <w:rPr>
                <w:sz w:val="20"/>
              </w:rPr>
              <w:t>delatnost</w:t>
            </w:r>
            <w:proofErr w:type="spellEnd"/>
            <w:r>
              <w:rPr>
                <w:sz w:val="20"/>
              </w:rPr>
              <w:t xml:space="preserve"> ili je u bilo kakvoj istovrsnoj situaciji koja proizlazi iz sličnog postupka prema nacionalnim zakonima i propisima.</w:t>
            </w:r>
          </w:p>
        </w:tc>
      </w:tr>
      <w:tr w:rsidR="00E45544">
        <w:trPr>
          <w:trHeight w:val="3737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  <w:p w:rsidR="00E45544" w:rsidRDefault="00E11B09">
            <w:pPr>
              <w:pStyle w:val="TableParagraph"/>
              <w:spacing w:before="0"/>
              <w:ind w:right="91"/>
              <w:rPr>
                <w:sz w:val="20"/>
              </w:rPr>
            </w:pPr>
            <w:r>
              <w:rPr>
                <w:sz w:val="20"/>
              </w:rPr>
              <w:t>Nepostojanje ovog osnova za isključenje dokazuje se potvrdom nadležnog suda, odnosno drugog nadležnog organa.</w:t>
            </w:r>
          </w:p>
          <w:p w:rsidR="00E45544" w:rsidRDefault="00E11B09">
            <w:pPr>
              <w:pStyle w:val="TableParagraph"/>
              <w:spacing w:before="0"/>
              <w:ind w:right="4"/>
              <w:rPr>
                <w:sz w:val="20"/>
              </w:rPr>
            </w:pPr>
            <w:r>
              <w:rPr>
                <w:sz w:val="20"/>
              </w:rPr>
              <w:t xml:space="preserve">Ako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 u drugoj državi kao dokaz da ne postoje osnove za isključenje naručilac će prihvatiti potvrdu nadležnog organa u državi </w:t>
            </w:r>
            <w:proofErr w:type="spellStart"/>
            <w:r>
              <w:rPr>
                <w:sz w:val="20"/>
              </w:rPr>
              <w:t>sedišta</w:t>
            </w:r>
            <w:proofErr w:type="spellEnd"/>
            <w:r>
              <w:rPr>
                <w:sz w:val="20"/>
              </w:rPr>
              <w:t xml:space="preserve"> privrednog subjekta. Ako se u državi u kojoj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 xml:space="preserve">, odnosno državi čiji je lice državljanin ne izdaju navedeni dokazi ili ako dokazi ne </w:t>
            </w:r>
            <w:proofErr w:type="spellStart"/>
            <w:r>
              <w:rPr>
                <w:sz w:val="20"/>
              </w:rPr>
              <w:t>obuhvataju</w:t>
            </w:r>
            <w:proofErr w:type="spellEnd"/>
            <w:r>
              <w:rPr>
                <w:sz w:val="20"/>
              </w:rPr>
              <w:t xml:space="preserve"> sve podatke u vezi sa nepostojanjem osnova za isključenje, privredni subjekt može da, </w:t>
            </w:r>
            <w:proofErr w:type="spellStart"/>
            <w:r>
              <w:rPr>
                <w:sz w:val="20"/>
              </w:rPr>
              <w:t>umesto</w:t>
            </w:r>
            <w:proofErr w:type="spellEnd"/>
            <w:r>
              <w:rPr>
                <w:sz w:val="20"/>
              </w:rPr>
              <w:t xml:space="preserve"> dokaza, dostavi svoju pisanu izjavu datu pod krivičnom i materijalnom odgovornošću, </w:t>
            </w:r>
            <w:proofErr w:type="spellStart"/>
            <w:r>
              <w:rPr>
                <w:sz w:val="20"/>
              </w:rPr>
              <w:t>overenu</w:t>
            </w:r>
            <w:proofErr w:type="spellEnd"/>
            <w:r>
              <w:rPr>
                <w:sz w:val="20"/>
              </w:rPr>
              <w:t xml:space="preserve"> pred sudskim ili upravnim organom, javnim </w:t>
            </w:r>
            <w:proofErr w:type="spellStart"/>
            <w:r>
              <w:rPr>
                <w:sz w:val="20"/>
              </w:rPr>
              <w:t>beležnikom</w:t>
            </w:r>
            <w:proofErr w:type="spellEnd"/>
            <w:r>
              <w:rPr>
                <w:sz w:val="20"/>
              </w:rPr>
              <w:t xml:space="preserve"> ili drugim nadležnim organom te države, u kojoj se navodi da ne postoji navedeni za isključenje privrednog subjekta.</w:t>
            </w:r>
          </w:p>
        </w:tc>
      </w:tr>
    </w:tbl>
    <w:p w:rsidR="00E45544" w:rsidRDefault="00E45544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E45544">
        <w:trPr>
          <w:trHeight w:val="337"/>
        </w:trPr>
        <w:tc>
          <w:tcPr>
            <w:tcW w:w="2597" w:type="dxa"/>
            <w:shd w:val="clear" w:color="auto" w:fill="F4F4F4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shd w:val="clear" w:color="auto" w:fill="F4F4F4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Pitanje u izjavi</w:t>
            </w:r>
          </w:p>
        </w:tc>
      </w:tr>
      <w:tr w:rsidR="00E45544">
        <w:trPr>
          <w:trHeight w:val="337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Stečaj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je privredni subjekt u stečaju?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Nesposobnost za plaćanje ili u postupku likvidacije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je privredni subjekt nesposoban za plaćanje ili u postupku likvidacije?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Imovinom upravlja stečajni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likvidacioni</w:t>
            </w:r>
            <w:proofErr w:type="spellEnd"/>
            <w:r>
              <w:rPr>
                <w:sz w:val="20"/>
              </w:rPr>
              <w:t>) upravnik ili sud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imovinom privrednog subjekt a upravlja stečajni (</w:t>
            </w:r>
            <w:proofErr w:type="spellStart"/>
            <w:r>
              <w:rPr>
                <w:i/>
                <w:sz w:val="20"/>
              </w:rPr>
              <w:t>likvidacioni</w:t>
            </w:r>
            <w:proofErr w:type="spellEnd"/>
            <w:r>
              <w:rPr>
                <w:i/>
                <w:sz w:val="20"/>
              </w:rPr>
              <w:t>) upravnik ili sud?</w:t>
            </w:r>
          </w:p>
        </w:tc>
      </w:tr>
      <w:tr w:rsidR="00E45544">
        <w:trPr>
          <w:trHeight w:val="319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Aranžman pogodbe sa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 u aranžmanu pogodbe sa </w:t>
            </w:r>
            <w:proofErr w:type="spellStart"/>
            <w:r>
              <w:rPr>
                <w:i/>
                <w:sz w:val="20"/>
              </w:rPr>
              <w:t>poveriocima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</w:tbl>
    <w:p w:rsidR="00E45544" w:rsidRDefault="00E45544">
      <w:pPr>
        <w:rPr>
          <w:sz w:val="20"/>
        </w:rPr>
        <w:sectPr w:rsidR="00E45544">
          <w:pgSz w:w="12480" w:h="16840"/>
          <w:pgMar w:top="5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E45544">
        <w:trPr>
          <w:trHeight w:val="337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poveriocima</w:t>
            </w:r>
            <w:proofErr w:type="spellEnd"/>
          </w:p>
        </w:tc>
        <w:tc>
          <w:tcPr>
            <w:tcW w:w="8620" w:type="dxa"/>
          </w:tcPr>
          <w:p w:rsidR="00E45544" w:rsidRDefault="00E45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 xml:space="preserve">Prestanak obavljanja poslovne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je privredni subjekt prestao da obavlja poslovnu </w:t>
            </w:r>
            <w:proofErr w:type="spellStart"/>
            <w:r>
              <w:rPr>
                <w:i/>
                <w:sz w:val="20"/>
              </w:rPr>
              <w:t>delatnost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E45544">
        <w:trPr>
          <w:trHeight w:val="563"/>
        </w:trPr>
        <w:tc>
          <w:tcPr>
            <w:tcW w:w="2597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Druga istovrsna situacija</w:t>
            </w:r>
          </w:p>
        </w:tc>
        <w:tc>
          <w:tcPr>
            <w:tcW w:w="8620" w:type="dxa"/>
          </w:tcPr>
          <w:p w:rsidR="00E45544" w:rsidRDefault="00E11B09">
            <w:pPr>
              <w:pStyle w:val="TableParagraph"/>
              <w:ind w:right="790"/>
              <w:rPr>
                <w:i/>
                <w:sz w:val="20"/>
              </w:rPr>
            </w:pPr>
            <w:r>
              <w:rPr>
                <w:i/>
                <w:sz w:val="20"/>
              </w:rPr>
              <w:t>Da li je privredni subjekt u bilo kakvoj istovrsnoj situaciji koja proizlazi iz sličnog postupka prema nacionalnim zakonima i propisima ?</w:t>
            </w:r>
          </w:p>
        </w:tc>
      </w:tr>
    </w:tbl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1.7. Težak oblik neprofesionalnog postupanja</w:t>
            </w:r>
          </w:p>
        </w:tc>
      </w:tr>
      <w:tr w:rsidR="00E45544">
        <w:trPr>
          <w:trHeight w:val="1784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 xml:space="preserve">Član 112. stav 1. </w:t>
            </w:r>
            <w:proofErr w:type="spellStart"/>
            <w:r>
              <w:rPr>
                <w:sz w:val="20"/>
              </w:rPr>
              <w:t>tač</w:t>
            </w:r>
            <w:proofErr w:type="spellEnd"/>
            <w:r>
              <w:rPr>
                <w:sz w:val="20"/>
              </w:rPr>
              <w:t xml:space="preserve">. 2)-Naručilac može u dokumentaciji o nabavci da predvidi da će da isključi privrednog subjekta iz postupka javne nabavke u svakom trenutku ako utvrdi da je </w:t>
            </w:r>
            <w:proofErr w:type="spellStart"/>
            <w:r>
              <w:rPr>
                <w:sz w:val="20"/>
              </w:rPr>
              <w:t>pravnosnažnom</w:t>
            </w:r>
            <w:proofErr w:type="spellEnd"/>
            <w:r>
              <w:rPr>
                <w:sz w:val="20"/>
              </w:rPr>
              <w:t xml:space="preserve"> presudom ili odlukom drugog nadležnog organa, utvrđena odgovornost privrednog subjekta za težak oblik neprofesionalnog postupanja koji dovodi u pitanje njegov integritet, u periodu od prethodne tri godine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podnošenje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prijava,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pravnosnažnom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presudom ili odlukom drugog nadležnog organa nije utvrđen drugi period zabrane učešća u postupku javne nabavke</w:t>
            </w:r>
          </w:p>
        </w:tc>
      </w:tr>
      <w:tr w:rsidR="00E45544">
        <w:trPr>
          <w:trHeight w:val="1784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ne postoji ovaj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isključenje.</w:t>
            </w:r>
          </w:p>
          <w:p w:rsidR="00E45544" w:rsidRDefault="00E11B09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 ekonomski najpovoljniju ponudu da dostavi dokaze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subjekta.</w:t>
            </w:r>
          </w:p>
          <w:p w:rsidR="00E45544" w:rsidRDefault="00E11B0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Nepostojanje ovog osnova za isključenje dokazuje se:</w:t>
            </w:r>
          </w:p>
        </w:tc>
      </w:tr>
      <w:tr w:rsidR="00E45544">
        <w:trPr>
          <w:trHeight w:val="563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je u periodu od prethodne tri godine od dana isteka roka za podnošenje ponuda, odnosno prijava</w:t>
            </w:r>
          </w:p>
          <w:p w:rsidR="00E45544" w:rsidRDefault="00E11B09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utvrđena odgovornost privrednog subjekta za težak oblik neprofesionalnog postupanja?</w:t>
            </w:r>
          </w:p>
        </w:tc>
      </w:tr>
    </w:tbl>
    <w:p w:rsidR="00E45544" w:rsidRDefault="00E45544">
      <w:pPr>
        <w:rPr>
          <w:sz w:val="20"/>
        </w:rPr>
        <w:sectPr w:rsidR="00E45544">
          <w:pgSz w:w="12480" w:h="16840"/>
          <w:pgMar w:top="540" w:right="400" w:bottom="280" w:left="600" w:header="720" w:footer="720" w:gutter="0"/>
          <w:cols w:space="720"/>
        </w:sectPr>
      </w:pPr>
    </w:p>
    <w:p w:rsidR="00E45544" w:rsidRDefault="00E11B09">
      <w:pPr>
        <w:pStyle w:val="ListParagraph"/>
        <w:numPr>
          <w:ilvl w:val="0"/>
          <w:numId w:val="6"/>
        </w:numPr>
        <w:tabs>
          <w:tab w:val="left" w:pos="399"/>
        </w:tabs>
        <w:rPr>
          <w:b/>
          <w:sz w:val="24"/>
        </w:rPr>
      </w:pPr>
      <w:r>
        <w:rPr>
          <w:b/>
          <w:sz w:val="24"/>
        </w:rPr>
        <w:lastRenderedPageBreak/>
        <w:t>Obavljanje profesionalne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delatnosti</w:t>
      </w:r>
      <w:proofErr w:type="spellEnd"/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2.1. </w:t>
            </w:r>
            <w:proofErr w:type="spellStart"/>
            <w:r>
              <w:rPr>
                <w:b/>
                <w:sz w:val="24"/>
              </w:rPr>
              <w:t>Ovlašćenje</w:t>
            </w:r>
            <w:proofErr w:type="spellEnd"/>
            <w:r>
              <w:rPr>
                <w:b/>
                <w:sz w:val="24"/>
              </w:rPr>
              <w:t>, dozvola ili članstvo</w:t>
            </w:r>
          </w:p>
        </w:tc>
      </w:tr>
      <w:tr w:rsidR="00E45544">
        <w:trPr>
          <w:trHeight w:val="1052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 xml:space="preserve">Član 115. stav 2.-Ako privredni subjekt mora da </w:t>
            </w:r>
            <w:proofErr w:type="spellStart"/>
            <w:r>
              <w:rPr>
                <w:sz w:val="20"/>
              </w:rPr>
              <w:t>poseduje</w:t>
            </w:r>
            <w:proofErr w:type="spellEnd"/>
            <w:r>
              <w:rPr>
                <w:sz w:val="20"/>
              </w:rPr>
              <w:t xml:space="preserve"> određeno </w:t>
            </w:r>
            <w:proofErr w:type="spellStart"/>
            <w:r>
              <w:rPr>
                <w:sz w:val="20"/>
              </w:rPr>
              <w:t>ovlašćenje</w:t>
            </w:r>
            <w:proofErr w:type="spellEnd"/>
            <w:r>
              <w:rPr>
                <w:sz w:val="20"/>
              </w:rPr>
              <w:t xml:space="preserve">, odnosno dozvolu nadležnog organa za obavljanje </w:t>
            </w:r>
            <w:proofErr w:type="spellStart"/>
            <w:r>
              <w:rPr>
                <w:sz w:val="20"/>
              </w:rPr>
              <w:t>delatnosti</w:t>
            </w:r>
            <w:proofErr w:type="spellEnd"/>
            <w:r>
              <w:rPr>
                <w:sz w:val="20"/>
              </w:rPr>
              <w:t xml:space="preserve"> koja je predmet javne nabavke ili da bude član određene organizacije da bi mogao da obavlja predmetnu </w:t>
            </w:r>
            <w:proofErr w:type="spellStart"/>
            <w:r>
              <w:rPr>
                <w:sz w:val="20"/>
              </w:rPr>
              <w:t>delatnost</w:t>
            </w:r>
            <w:proofErr w:type="spellEnd"/>
            <w:r>
              <w:rPr>
                <w:sz w:val="20"/>
              </w:rPr>
              <w:t xml:space="preserve">, naručilac može od njega da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da dokaže </w:t>
            </w:r>
            <w:proofErr w:type="spellStart"/>
            <w:r>
              <w:rPr>
                <w:sz w:val="20"/>
              </w:rPr>
              <w:t>posedovanje</w:t>
            </w:r>
            <w:proofErr w:type="spellEnd"/>
            <w:r>
              <w:rPr>
                <w:sz w:val="20"/>
              </w:rPr>
              <w:t xml:space="preserve"> takve dozvole, </w:t>
            </w:r>
            <w:proofErr w:type="spellStart"/>
            <w:r>
              <w:rPr>
                <w:sz w:val="20"/>
              </w:rPr>
              <w:t>ovlašćenja</w:t>
            </w:r>
            <w:proofErr w:type="spellEnd"/>
            <w:r>
              <w:rPr>
                <w:sz w:val="20"/>
              </w:rPr>
              <w:t xml:space="preserve"> ili članstva.</w:t>
            </w:r>
          </w:p>
        </w:tc>
      </w:tr>
      <w:tr w:rsidR="00E45544">
        <w:trPr>
          <w:trHeight w:val="337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Dodatni opis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45544">
            <w:pPr>
              <w:pStyle w:val="TableParagraph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E45544">
        <w:trPr>
          <w:trHeight w:val="2028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ispunjava ovaj </w:t>
            </w:r>
            <w:proofErr w:type="spellStart"/>
            <w:r>
              <w:rPr>
                <w:sz w:val="20"/>
              </w:rPr>
              <w:t>kriterijum</w:t>
            </w:r>
            <w:proofErr w:type="spellEnd"/>
            <w:r>
              <w:rPr>
                <w:sz w:val="20"/>
              </w:rPr>
              <w:t xml:space="preserve"> za izbor 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E45544" w:rsidRDefault="00E11B09">
            <w:pPr>
              <w:pStyle w:val="TableParagraph"/>
              <w:spacing w:before="0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najpovoljniju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ponudu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ispunjenosti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kvalitativni izbor 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E45544" w:rsidRDefault="00E11B09">
            <w:pPr>
              <w:pStyle w:val="TableParagraph"/>
              <w:spacing w:before="0"/>
              <w:ind w:right="36"/>
              <w:rPr>
                <w:sz w:val="20"/>
              </w:rPr>
            </w:pPr>
            <w:r>
              <w:rPr>
                <w:sz w:val="20"/>
              </w:rPr>
              <w:t xml:space="preserve">Ovaj </w:t>
            </w:r>
            <w:proofErr w:type="spellStart"/>
            <w:r>
              <w:rPr>
                <w:sz w:val="20"/>
              </w:rPr>
              <w:t>kriterijum</w:t>
            </w:r>
            <w:proofErr w:type="spellEnd"/>
            <w:r>
              <w:rPr>
                <w:sz w:val="20"/>
              </w:rPr>
              <w:t xml:space="preserve"> dokazuje se dozvolom nadležnog organa ili potvrdom o članstvu u određenoj organizaciji, koja je izdata u državi u kojoj privredni subjekt ima </w:t>
            </w:r>
            <w:proofErr w:type="spellStart"/>
            <w:r>
              <w:rPr>
                <w:sz w:val="20"/>
              </w:rPr>
              <w:t>sedište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5544">
        <w:trPr>
          <w:trHeight w:val="807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0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privredni subjekt </w:t>
            </w:r>
            <w:proofErr w:type="spellStart"/>
            <w:r>
              <w:rPr>
                <w:i/>
                <w:sz w:val="20"/>
              </w:rPr>
              <w:t>poseduje</w:t>
            </w:r>
            <w:proofErr w:type="spellEnd"/>
            <w:r>
              <w:rPr>
                <w:i/>
                <w:sz w:val="20"/>
              </w:rPr>
              <w:t xml:space="preserve"> potrebno određeno </w:t>
            </w:r>
            <w:proofErr w:type="spellStart"/>
            <w:r>
              <w:rPr>
                <w:i/>
                <w:sz w:val="20"/>
              </w:rPr>
              <w:t>ovlašćenje</w:t>
            </w:r>
            <w:proofErr w:type="spellEnd"/>
            <w:r>
              <w:rPr>
                <w:i/>
                <w:sz w:val="20"/>
              </w:rPr>
              <w:t xml:space="preserve">, odnosno dozvolu nadležnog organa za obavljanje </w:t>
            </w:r>
            <w:proofErr w:type="spellStart"/>
            <w:r>
              <w:rPr>
                <w:i/>
                <w:sz w:val="20"/>
              </w:rPr>
              <w:t>delatnosti</w:t>
            </w:r>
            <w:proofErr w:type="spellEnd"/>
            <w:r>
              <w:rPr>
                <w:i/>
                <w:sz w:val="20"/>
              </w:rPr>
              <w:t xml:space="preserve"> koja je predmet javne nabavke ili je član određene organizacije da bi mogao da obavlja predmetnu </w:t>
            </w:r>
            <w:proofErr w:type="spellStart"/>
            <w:r>
              <w:rPr>
                <w:i/>
                <w:sz w:val="20"/>
              </w:rPr>
              <w:t>delatnost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</w:tbl>
    <w:p w:rsidR="00E45544" w:rsidRDefault="00481BB8">
      <w:pPr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133985</wp:posOffset>
                </wp:positionV>
                <wp:extent cx="7139305" cy="465455"/>
                <wp:effectExtent l="0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305" cy="465455"/>
                          <a:chOff x="710" y="211"/>
                          <a:chExt cx="11243" cy="733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7" y="228"/>
                            <a:ext cx="11208" cy="34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710" y="219"/>
                            <a:ext cx="11243" cy="707"/>
                          </a:xfrm>
                          <a:custGeom>
                            <a:avLst/>
                            <a:gdLst>
                              <a:gd name="T0" fmla="+- 0 719 710"/>
                              <a:gd name="T1" fmla="*/ T0 w 11243"/>
                              <a:gd name="T2" fmla="+- 0 229 220"/>
                              <a:gd name="T3" fmla="*/ 229 h 707"/>
                              <a:gd name="T4" fmla="+- 0 719 710"/>
                              <a:gd name="T5" fmla="*/ T4 w 11243"/>
                              <a:gd name="T6" fmla="+- 0 926 220"/>
                              <a:gd name="T7" fmla="*/ 926 h 707"/>
                              <a:gd name="T8" fmla="+- 0 11944 710"/>
                              <a:gd name="T9" fmla="*/ T8 w 11243"/>
                              <a:gd name="T10" fmla="+- 0 229 220"/>
                              <a:gd name="T11" fmla="*/ 229 h 707"/>
                              <a:gd name="T12" fmla="+- 0 11944 710"/>
                              <a:gd name="T13" fmla="*/ T12 w 11243"/>
                              <a:gd name="T14" fmla="+- 0 926 220"/>
                              <a:gd name="T15" fmla="*/ 926 h 707"/>
                              <a:gd name="T16" fmla="+- 0 710 710"/>
                              <a:gd name="T17" fmla="*/ T16 w 11243"/>
                              <a:gd name="T18" fmla="+- 0 220 220"/>
                              <a:gd name="T19" fmla="*/ 220 h 707"/>
                              <a:gd name="T20" fmla="+- 0 11953 710"/>
                              <a:gd name="T21" fmla="*/ T20 w 11243"/>
                              <a:gd name="T22" fmla="+- 0 220 220"/>
                              <a:gd name="T23" fmla="*/ 220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43" h="707">
                                <a:moveTo>
                                  <a:pt x="9" y="9"/>
                                </a:moveTo>
                                <a:lnTo>
                                  <a:pt x="9" y="706"/>
                                </a:lnTo>
                                <a:moveTo>
                                  <a:pt x="11234" y="9"/>
                                </a:moveTo>
                                <a:lnTo>
                                  <a:pt x="11234" y="706"/>
                                </a:lnTo>
                                <a:moveTo>
                                  <a:pt x="0" y="0"/>
                                </a:moveTo>
                                <a:lnTo>
                                  <a:pt x="11243" y="0"/>
                                </a:lnTo>
                              </a:path>
                            </a:pathLst>
                          </a:custGeom>
                          <a:noFill/>
                          <a:ln w="11113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577"/>
                            <a:ext cx="11225" cy="358"/>
                          </a:xfrm>
                          <a:prstGeom prst="rect">
                            <a:avLst/>
                          </a:prstGeom>
                          <a:noFill/>
                          <a:ln w="11113">
                            <a:solidFill>
                              <a:srgbClr val="D3D3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5544" w:rsidRDefault="00E45544">
                              <w:pPr>
                                <w:spacing w:before="39"/>
                                <w:ind w:left="3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307"/>
                            <a:ext cx="5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544" w:rsidRDefault="00E11B09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Uslovi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.5pt;margin-top:10.55pt;width:562.15pt;height:36.65pt;z-index:-15727616;mso-wrap-distance-left:0;mso-wrap-distance-right:0;mso-position-horizontal-relative:page" coordorigin="710,211" coordsize="11243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">
                <v:rect id="Rectangle 11" o:spid="_x0000_s1027" style="position:absolute;left:727;top:228;width:1120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" fillcolor="#f4f4f4" stroked="f"/>
                <v:shape id="AutoShape 10" o:spid="_x0000_s1028" style="position:absolute;left:710;top:219;width:11243;height:707;visibility:visible;mso-wrap-style:square;v-text-anchor:top" coordsize="11243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" path="m9,9r,697m11234,9r,697m,l11243,e" filled="f" strokecolor="#d3d3d3" strokeweight=".30869mm">
                  <v:path arrowok="t" o:connecttype="custom" o:connectlocs="9,229;9,926;11234,229;11234,926;0,220;11243,22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19;top:577;width:112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" filled="f" strokecolor="#d3d3d3" strokeweight=".30869mm">
                  <v:textbox inset="0,0,0,0">
                    <w:txbxContent>
                      <w:p w:rsidR="00E45544" w:rsidRDefault="00E45544">
                        <w:pPr>
                          <w:spacing w:before="39"/>
                          <w:ind w:left="3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758;top:307;width:5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45544" w:rsidRDefault="00E11B09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Uslovi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5544" w:rsidRDefault="00E45544">
      <w:pPr>
        <w:rPr>
          <w:sz w:val="14"/>
        </w:rPr>
        <w:sectPr w:rsidR="00E45544">
          <w:pgSz w:w="12480" w:h="16840"/>
          <w:pgMar w:top="1020" w:right="400" w:bottom="280" w:left="600" w:header="720" w:footer="720" w:gutter="0"/>
          <w:cols w:space="720"/>
        </w:sect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3"/>
        <w:rPr>
          <w:b/>
          <w:sz w:val="16"/>
        </w:rPr>
      </w:pPr>
    </w:p>
    <w:p w:rsidR="00E45544" w:rsidRPr="00481BB8" w:rsidRDefault="00E11B09" w:rsidP="00481BB8">
      <w:pPr>
        <w:pStyle w:val="ListParagraph"/>
        <w:numPr>
          <w:ilvl w:val="0"/>
          <w:numId w:val="7"/>
        </w:numPr>
        <w:tabs>
          <w:tab w:val="left" w:pos="399"/>
        </w:tabs>
        <w:rPr>
          <w:b/>
          <w:sz w:val="24"/>
        </w:rPr>
      </w:pPr>
      <w:r w:rsidRPr="00481BB8">
        <w:rPr>
          <w:b/>
          <w:sz w:val="24"/>
        </w:rPr>
        <w:t>Standardi osiguranja kvaliteta i standardi upravljanja životnom</w:t>
      </w:r>
      <w:r w:rsidRPr="00481BB8">
        <w:rPr>
          <w:b/>
          <w:spacing w:val="-4"/>
          <w:sz w:val="24"/>
        </w:rPr>
        <w:t xml:space="preserve"> </w:t>
      </w:r>
      <w:r w:rsidRPr="00481BB8">
        <w:rPr>
          <w:b/>
          <w:sz w:val="24"/>
        </w:rPr>
        <w:t>sredinom</w:t>
      </w:r>
    </w:p>
    <w:p w:rsidR="00E45544" w:rsidRDefault="00E45544">
      <w:pPr>
        <w:rPr>
          <w:b/>
          <w:sz w:val="20"/>
        </w:rPr>
      </w:pPr>
    </w:p>
    <w:p w:rsidR="00E45544" w:rsidRDefault="00E45544">
      <w:pPr>
        <w:rPr>
          <w:b/>
          <w:sz w:val="20"/>
        </w:rPr>
      </w:pPr>
    </w:p>
    <w:p w:rsidR="00E45544" w:rsidRDefault="00E45544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E45544">
        <w:trPr>
          <w:trHeight w:val="368"/>
        </w:trPr>
        <w:tc>
          <w:tcPr>
            <w:tcW w:w="11218" w:type="dxa"/>
            <w:gridSpan w:val="2"/>
          </w:tcPr>
          <w:p w:rsidR="00E45544" w:rsidRDefault="00E11B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5.1. Standardi osiguranja kvaliteta</w:t>
            </w:r>
          </w:p>
        </w:tc>
      </w:tr>
      <w:tr w:rsidR="00E45544">
        <w:trPr>
          <w:trHeight w:val="1052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Pravni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 xml:space="preserve">Član 126.-Ako naručilac u svrhu dokazivanja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dostavljanje potvrda nezavisnih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z w:val="20"/>
              </w:rPr>
              <w:t xml:space="preserve"> kojima se potvrđuje </w:t>
            </w:r>
            <w:proofErr w:type="spellStart"/>
            <w:r>
              <w:rPr>
                <w:sz w:val="20"/>
              </w:rPr>
              <w:t>usaglašenost</w:t>
            </w:r>
            <w:proofErr w:type="spellEnd"/>
            <w:r>
              <w:rPr>
                <w:sz w:val="20"/>
              </w:rPr>
              <w:t xml:space="preserve"> privrednog subjekta sa određenim standardima osiguranja kvaliteta, uključujući pristupačnost za osobe sa invaliditetom, dužan je da uputi na sisteme osiguranja kvaliteta koji se zasnivaju na odgovarajućim standardima koje su potvrdila </w:t>
            </w:r>
            <w:proofErr w:type="spellStart"/>
            <w:r>
              <w:rPr>
                <w:sz w:val="20"/>
              </w:rPr>
              <w:t>akreditovana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5544">
        <w:trPr>
          <w:trHeight w:val="2014"/>
        </w:trPr>
        <w:tc>
          <w:tcPr>
            <w:tcW w:w="2604" w:type="dxa"/>
          </w:tcPr>
          <w:p w:rsidR="00E45544" w:rsidRDefault="00E11B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Dodatni opis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481BB8" w:rsidRPr="00481BB8" w:rsidRDefault="00481BB8" w:rsidP="00481BB8">
            <w:pPr>
              <w:pStyle w:val="TableParagraph"/>
              <w:tabs>
                <w:tab w:val="left" w:pos="238"/>
              </w:tabs>
              <w:ind w:right="181"/>
              <w:rPr>
                <w:b/>
                <w:sz w:val="20"/>
              </w:rPr>
            </w:pPr>
            <w:proofErr w:type="spellStart"/>
            <w:r w:rsidRPr="00481BB8">
              <w:rPr>
                <w:b/>
                <w:sz w:val="20"/>
              </w:rPr>
              <w:t>Sertifikati</w:t>
            </w:r>
            <w:proofErr w:type="spellEnd"/>
            <w:r w:rsidRPr="00481BB8">
              <w:rPr>
                <w:b/>
                <w:sz w:val="20"/>
              </w:rPr>
              <w:t xml:space="preserve">- </w:t>
            </w:r>
          </w:p>
          <w:p w:rsidR="00481BB8" w:rsidRDefault="00481BB8" w:rsidP="00481BB8">
            <w:pPr>
              <w:pStyle w:val="TableParagraph"/>
              <w:tabs>
                <w:tab w:val="left" w:pos="238"/>
              </w:tabs>
              <w:spacing w:before="0"/>
              <w:ind w:right="181"/>
              <w:rPr>
                <w:b/>
                <w:sz w:val="20"/>
              </w:rPr>
            </w:pPr>
            <w:r w:rsidRPr="00481BB8">
              <w:rPr>
                <w:b/>
                <w:sz w:val="20"/>
              </w:rPr>
              <w:t>za računare (stavka 1,2 i 3)</w:t>
            </w:r>
            <w:r>
              <w:rPr>
                <w:b/>
                <w:sz w:val="20"/>
              </w:rPr>
              <w:t xml:space="preserve"> : </w:t>
            </w:r>
          </w:p>
          <w:p w:rsidR="00481BB8" w:rsidRDefault="00481BB8" w:rsidP="00481BB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Neophodno je da Ponuđač dostavi potvrdu proizvođača da ponuđeni računar zadovoljava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/standarde uz </w:t>
            </w:r>
            <w:proofErr w:type="spellStart"/>
            <w:r>
              <w:rPr>
                <w:rFonts w:ascii="Calibri" w:hAnsi="Calibri" w:cs="Calibri"/>
                <w:color w:val="000000"/>
              </w:rPr>
              <w:t>tačno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navođenje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/standarda koje ponuđeni računar zadovoljava. Dokaz: Potvrda proizvođača računara  kojom se potvrđuje da ponuđeni računar zadovoljava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/standarde. Potvrda mora biti naslovljena na Naručioca sa pozivom na javnu nabavku. </w:t>
            </w:r>
          </w:p>
          <w:p w:rsidR="00481BB8" w:rsidRPr="00481BB8" w:rsidRDefault="00481BB8" w:rsidP="00481BB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1BB8">
              <w:rPr>
                <w:rFonts w:ascii="Calibri" w:hAnsi="Calibri" w:cs="Calibri"/>
                <w:b/>
                <w:bCs/>
                <w:color w:val="000000"/>
              </w:rPr>
              <w:t>Tehnička specifikacija -</w:t>
            </w:r>
            <w:r w:rsidRPr="00481BB8">
              <w:rPr>
                <w:rFonts w:ascii="Calibri" w:hAnsi="Calibri" w:cs="Calibri"/>
                <w:b/>
                <w:bCs/>
                <w:color w:val="000000"/>
              </w:rPr>
              <w:br/>
              <w:t>za svu ponuđenu opremu</w:t>
            </w:r>
          </w:p>
          <w:p w:rsidR="00481BB8" w:rsidRDefault="00481BB8" w:rsidP="00481BB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Neophodno je da Ponuđač dostavi tehničku specifikaciju proizvođača, sva tehnička dokumentacija (opis proizvoda,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datasheet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-ovi i sl.) kao i navedene potvrde mogu biti dostavljene na engleskom jeziku. Dostavljena tehnička dokumentacija mora nedvosmisleno pokazivati da ponuđena dobra u potpunosti odgovaraju svim minimalnim tehničkim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zahtevima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81BB8" w:rsidRDefault="00481BB8" w:rsidP="00481BB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81BB8">
              <w:rPr>
                <w:rFonts w:ascii="Calibri" w:hAnsi="Calibri" w:cs="Calibri"/>
                <w:b/>
                <w:bCs/>
                <w:color w:val="000000"/>
              </w:rPr>
              <w:t>Proizvodjačka</w:t>
            </w:r>
            <w:proofErr w:type="spellEnd"/>
            <w:r w:rsidRPr="00481BB8">
              <w:rPr>
                <w:rFonts w:ascii="Calibri" w:hAnsi="Calibri" w:cs="Calibri"/>
                <w:b/>
                <w:bCs/>
                <w:color w:val="000000"/>
              </w:rPr>
              <w:t xml:space="preserve"> garancija -</w:t>
            </w:r>
            <w:r w:rsidRPr="00481BB8">
              <w:rPr>
                <w:rFonts w:ascii="Calibri" w:hAnsi="Calibri" w:cs="Calibri"/>
                <w:b/>
                <w:bCs/>
                <w:color w:val="000000"/>
              </w:rPr>
              <w:br/>
              <w:t>za svu ponuđenu opremu</w:t>
            </w:r>
          </w:p>
          <w:p w:rsidR="00481BB8" w:rsidRDefault="00481BB8" w:rsidP="00481BB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Neophodno je da Ponuđač dostavi proizvođačku garanciju na traženi garantni period.</w:t>
            </w:r>
            <w:r>
              <w:rPr>
                <w:rFonts w:ascii="Calibri" w:hAnsi="Calibri" w:cs="Calibri"/>
                <w:color w:val="000000"/>
              </w:rPr>
              <w:br/>
              <w:t xml:space="preserve">Dokaz: Potvrda proizvođača opreme ili lokalne kancelarije proizvođača opreme (za teritoriju Republike Srbije) kojom se potvrđuje da je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garantni period podržan od stane proizvođača opreme. Potvrda se odnosi na svu ponuđenu opremu, mora biti naslovljena na Naručioca, sa pozivom na javnu nabavku i mora se odnositi na teritoriju R. Srbije.</w:t>
            </w:r>
          </w:p>
          <w:p w:rsidR="00E45544" w:rsidRDefault="00E45544" w:rsidP="00EF2419">
            <w:pPr>
              <w:rPr>
                <w:b/>
                <w:sz w:val="20"/>
              </w:rPr>
            </w:pPr>
          </w:p>
        </w:tc>
      </w:tr>
      <w:tr w:rsidR="00E45544">
        <w:trPr>
          <w:trHeight w:val="3493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 xml:space="preserve">Način dokazivanja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Privredni subjekt dužan je da putem Portala sastavi i uz prijavu/ponudu podnese izjavu o ispunjenosti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z w:val="20"/>
              </w:rPr>
              <w:t xml:space="preserve"> za kvalitativni izbor privrednog subjekta, kojom potvrđuje da ispunjava ovaj </w:t>
            </w:r>
            <w:proofErr w:type="spellStart"/>
            <w:r>
              <w:rPr>
                <w:sz w:val="20"/>
              </w:rPr>
              <w:t>kriterijum</w:t>
            </w:r>
            <w:proofErr w:type="spellEnd"/>
            <w:r>
              <w:rPr>
                <w:sz w:val="20"/>
              </w:rPr>
              <w:t xml:space="preserve"> za izbor 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E45544" w:rsidRDefault="00E11B09">
            <w:pPr>
              <w:pStyle w:val="TableParagraph"/>
              <w:spacing w:before="0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Naručilac može da pre donošenja odluke u postupku javne nabavke </w:t>
            </w:r>
            <w:proofErr w:type="spellStart"/>
            <w:r>
              <w:rPr>
                <w:sz w:val="20"/>
              </w:rPr>
              <w:t>zahteva</w:t>
            </w:r>
            <w:proofErr w:type="spellEnd"/>
            <w:r>
              <w:rPr>
                <w:sz w:val="20"/>
              </w:rPr>
              <w:t xml:space="preserve"> od ponuđača koji je dostavio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najpovoljniju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ponudu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ispunjenosti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kriterijuma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kvalitativni izbor 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E45544" w:rsidRDefault="00E11B09">
            <w:pPr>
              <w:pStyle w:val="TableParagraph"/>
              <w:spacing w:before="0"/>
              <w:ind w:right="167"/>
              <w:rPr>
                <w:sz w:val="20"/>
              </w:rPr>
            </w:pPr>
            <w:r>
              <w:rPr>
                <w:sz w:val="20"/>
              </w:rPr>
              <w:t xml:space="preserve">Ovaj </w:t>
            </w:r>
            <w:proofErr w:type="spellStart"/>
            <w:r>
              <w:rPr>
                <w:sz w:val="20"/>
              </w:rPr>
              <w:t>kriterijum</w:t>
            </w:r>
            <w:proofErr w:type="spellEnd"/>
            <w:r>
              <w:rPr>
                <w:sz w:val="20"/>
              </w:rPr>
              <w:t xml:space="preserve"> dokazuje se dostavljanjem potvrda nezavisnih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z w:val="20"/>
              </w:rPr>
              <w:t xml:space="preserve"> kojima se potvrđuje </w:t>
            </w:r>
            <w:proofErr w:type="spellStart"/>
            <w:r>
              <w:rPr>
                <w:sz w:val="20"/>
              </w:rPr>
              <w:t>usaglašenost</w:t>
            </w:r>
            <w:proofErr w:type="spellEnd"/>
            <w:r>
              <w:rPr>
                <w:sz w:val="20"/>
              </w:rPr>
              <w:t xml:space="preserve"> privrednog subjekta sa određenim standardima osiguranja kvaliteta, uključujući pristupačnost za osobe sa invaliditetom.</w:t>
            </w:r>
          </w:p>
          <w:p w:rsidR="00E45544" w:rsidRDefault="00E11B09">
            <w:pPr>
              <w:pStyle w:val="TableParagraph"/>
              <w:spacing w:before="0"/>
              <w:ind w:right="182"/>
              <w:rPr>
                <w:sz w:val="20"/>
              </w:rPr>
            </w:pPr>
            <w:r>
              <w:rPr>
                <w:sz w:val="20"/>
              </w:rPr>
              <w:t xml:space="preserve">Naručilac je dužan da prizna ekvivalentne potvrde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z w:val="20"/>
              </w:rPr>
              <w:t xml:space="preserve"> osnovanih u državama članicama Evropske unije ili </w:t>
            </w:r>
            <w:proofErr w:type="spellStart"/>
            <w:r>
              <w:rPr>
                <w:sz w:val="20"/>
              </w:rPr>
              <w:t>tela</w:t>
            </w:r>
            <w:proofErr w:type="spellEnd"/>
            <w:r>
              <w:rPr>
                <w:sz w:val="20"/>
              </w:rPr>
              <w:t xml:space="preserve"> osnovanih u ostalim državama.</w:t>
            </w:r>
          </w:p>
          <w:p w:rsidR="00E45544" w:rsidRDefault="00E11B09">
            <w:pPr>
              <w:pStyle w:val="TableParagraph"/>
              <w:spacing w:before="0"/>
              <w:ind w:right="63"/>
              <w:rPr>
                <w:sz w:val="20"/>
              </w:rPr>
            </w:pPr>
            <w:r>
              <w:rPr>
                <w:sz w:val="20"/>
              </w:rPr>
              <w:t xml:space="preserve">Naručilac je dužan da prihvati dokaze o ekvivalentnim </w:t>
            </w:r>
            <w:proofErr w:type="spellStart"/>
            <w:r>
              <w:rPr>
                <w:sz w:val="20"/>
              </w:rPr>
              <w:t>merama</w:t>
            </w:r>
            <w:proofErr w:type="spellEnd"/>
            <w:r>
              <w:rPr>
                <w:sz w:val="20"/>
              </w:rPr>
              <w:t xml:space="preserve"> osiguranja kvaliteta ako privredni subjekt iz objektivnih razloga ne može da pribavi potvrde odgovarajućem roku, pod </w:t>
            </w:r>
            <w:proofErr w:type="spellStart"/>
            <w:r>
              <w:rPr>
                <w:sz w:val="20"/>
              </w:rPr>
              <w:t>uslovom</w:t>
            </w:r>
            <w:proofErr w:type="spellEnd"/>
            <w:r>
              <w:rPr>
                <w:sz w:val="20"/>
              </w:rPr>
              <w:t xml:space="preserve"> da dokaže da su te </w:t>
            </w:r>
            <w:proofErr w:type="spellStart"/>
            <w:r>
              <w:rPr>
                <w:sz w:val="20"/>
              </w:rPr>
              <w:t>mere</w:t>
            </w:r>
            <w:proofErr w:type="spellEnd"/>
            <w:r>
              <w:rPr>
                <w:sz w:val="20"/>
              </w:rPr>
              <w:t xml:space="preserve"> usklađene sa traženim standardima osiguranja kvaliteta.</w:t>
            </w:r>
          </w:p>
        </w:tc>
      </w:tr>
      <w:tr w:rsidR="00E45544">
        <w:trPr>
          <w:trHeight w:val="807"/>
        </w:trPr>
        <w:tc>
          <w:tcPr>
            <w:tcW w:w="2604" w:type="dxa"/>
          </w:tcPr>
          <w:p w:rsidR="00E45544" w:rsidRDefault="00E11B09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 izjavi:</w:t>
            </w:r>
          </w:p>
        </w:tc>
        <w:tc>
          <w:tcPr>
            <w:tcW w:w="8614" w:type="dxa"/>
          </w:tcPr>
          <w:p w:rsidR="00E45544" w:rsidRDefault="00E11B09">
            <w:pPr>
              <w:pStyle w:val="TableParagraph"/>
              <w:ind w:right="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li privredni subjekt može da dostavi potvrde nezavisnih </w:t>
            </w:r>
            <w:proofErr w:type="spellStart"/>
            <w:r>
              <w:rPr>
                <w:i/>
                <w:sz w:val="20"/>
              </w:rPr>
              <w:t>tela</w:t>
            </w:r>
            <w:proofErr w:type="spellEnd"/>
            <w:r>
              <w:rPr>
                <w:i/>
                <w:sz w:val="20"/>
              </w:rPr>
              <w:t xml:space="preserve"> kojima se potvrđuje </w:t>
            </w:r>
            <w:proofErr w:type="spellStart"/>
            <w:r>
              <w:rPr>
                <w:i/>
                <w:sz w:val="20"/>
              </w:rPr>
              <w:t>usaglašenost</w:t>
            </w:r>
            <w:proofErr w:type="spellEnd"/>
            <w:r>
              <w:rPr>
                <w:i/>
                <w:sz w:val="20"/>
              </w:rPr>
              <w:t xml:space="preserve"> poslovanja privrednog subjekta sa određenim standardima osiguranja kvaliteta, uključujući pristupačnost za osobe sa invaliditetom?</w:t>
            </w:r>
          </w:p>
        </w:tc>
      </w:tr>
    </w:tbl>
    <w:p w:rsidR="00EF2419" w:rsidRDefault="00EF2419">
      <w:pPr>
        <w:spacing w:before="3"/>
        <w:rPr>
          <w:b/>
          <w:sz w:val="17"/>
        </w:rPr>
      </w:pPr>
    </w:p>
    <w:p w:rsidR="00EF2419" w:rsidRDefault="00EF2419">
      <w:pPr>
        <w:rPr>
          <w:b/>
          <w:sz w:val="17"/>
        </w:rPr>
      </w:pPr>
      <w:r>
        <w:rPr>
          <w:b/>
          <w:sz w:val="17"/>
        </w:rPr>
        <w:br w:type="page"/>
      </w:r>
    </w:p>
    <w:p w:rsidR="00E45544" w:rsidRDefault="00E45544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5"/>
      </w:tblGrid>
      <w:tr w:rsidR="00E45544">
        <w:trPr>
          <w:trHeight w:val="337"/>
        </w:trPr>
        <w:tc>
          <w:tcPr>
            <w:tcW w:w="11225" w:type="dxa"/>
            <w:shd w:val="clear" w:color="auto" w:fill="F4F4F4"/>
          </w:tcPr>
          <w:p w:rsidR="00E45544" w:rsidRDefault="00E11B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Uslovi</w:t>
            </w:r>
            <w:proofErr w:type="spellEnd"/>
          </w:p>
        </w:tc>
      </w:tr>
      <w:tr w:rsidR="00E45544">
        <w:trPr>
          <w:trHeight w:val="1282"/>
        </w:trPr>
        <w:tc>
          <w:tcPr>
            <w:tcW w:w="11225" w:type="dxa"/>
          </w:tcPr>
          <w:p w:rsidR="00E45544" w:rsidRDefault="00EF2419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potvrdu proizvođača da ponuđeni računar zadovoljava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/standarde uz </w:t>
            </w:r>
            <w:proofErr w:type="spellStart"/>
            <w:r>
              <w:rPr>
                <w:rFonts w:ascii="Calibri" w:hAnsi="Calibri" w:cs="Calibri"/>
                <w:color w:val="000000"/>
              </w:rPr>
              <w:t>tačno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navođenje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/standarda koje ponuđeni računar zadovoljava. Dokaz: Potvrda proizvođača računara  kojom se potvrđuje da ponuđeni računar zadovoljava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sertifikate</w:t>
            </w:r>
            <w:proofErr w:type="spellEnd"/>
            <w:r>
              <w:rPr>
                <w:rFonts w:ascii="Calibri" w:hAnsi="Calibri" w:cs="Calibri"/>
                <w:color w:val="000000"/>
              </w:rPr>
              <w:t>/standarde. Potvrda mora biti naslovljena na Naručioca sa pozivom na javnu nabavku</w:t>
            </w:r>
          </w:p>
        </w:tc>
      </w:tr>
      <w:tr w:rsidR="00E45544">
        <w:trPr>
          <w:trHeight w:val="1037"/>
        </w:trPr>
        <w:tc>
          <w:tcPr>
            <w:tcW w:w="11225" w:type="dxa"/>
          </w:tcPr>
          <w:p w:rsidR="00E45544" w:rsidRDefault="00EF2419">
            <w:pPr>
              <w:pStyle w:val="TableParagraph"/>
              <w:spacing w:before="0"/>
              <w:ind w:right="2316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tehničku specifikaciju proizvođača, sva tehnička dokumentacija (opis proizvoda,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datasheet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-ovi i sl.) kao i navedene potvrde mogu biti dostavljene na engleskom jeziku. Dostavljena tehnička dokumentacija mora nedvosmisleno pokazivati da ponuđena dobra u potpunosti odgovaraju svim minimalnim tehničkim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zahtevima</w:t>
            </w:r>
            <w:proofErr w:type="spellEnd"/>
          </w:p>
        </w:tc>
      </w:tr>
      <w:tr w:rsidR="00EF2419">
        <w:trPr>
          <w:trHeight w:val="1037"/>
        </w:trPr>
        <w:tc>
          <w:tcPr>
            <w:tcW w:w="11225" w:type="dxa"/>
          </w:tcPr>
          <w:p w:rsidR="00EF2419" w:rsidRDefault="00EF2419">
            <w:pPr>
              <w:pStyle w:val="TableParagraph"/>
              <w:spacing w:before="0"/>
              <w:ind w:right="231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Proizvođačku garanciju na traženi garantni period.</w:t>
            </w:r>
            <w:r>
              <w:rPr>
                <w:rFonts w:ascii="Calibri" w:hAnsi="Calibri" w:cs="Calibri"/>
                <w:color w:val="000000"/>
              </w:rPr>
              <w:br/>
              <w:t xml:space="preserve">Dokaz: Potvrda proizvođača opreme ili lokalne kancelarije proizvođača opreme (za teritoriju Republike Srbije) kojom se potvrđuje da je </w:t>
            </w:r>
            <w:proofErr w:type="spellStart"/>
            <w:r>
              <w:rPr>
                <w:rFonts w:ascii="Calibri" w:hAnsi="Calibri" w:cs="Calibri"/>
                <w:color w:val="000000"/>
              </w:rPr>
              <w:t>zahtevani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garantni period podržan od stane proizvođača opreme. Potvrda se odnosi na svu ponuđenu opremu, mora biti naslovljena na Naručioca, sa pozivom na javnu nabavku i mora se odnositi na teritoriju R. Srbije</w:t>
            </w:r>
          </w:p>
        </w:tc>
      </w:tr>
    </w:tbl>
    <w:p w:rsidR="00E11B09" w:rsidRDefault="00E11B09"/>
    <w:sectPr w:rsidR="00E11B09">
      <w:pgSz w:w="12480" w:h="16840"/>
      <w:pgMar w:top="10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508"/>
    <w:multiLevelType w:val="hybridMultilevel"/>
    <w:tmpl w:val="9DAEC568"/>
    <w:lvl w:ilvl="0" w:tplc="D5B2CC78">
      <w:start w:val="1"/>
      <w:numFmt w:val="decimal"/>
      <w:lvlText w:val="%1)"/>
      <w:lvlJc w:val="left"/>
      <w:pPr>
        <w:ind w:left="37" w:hanging="208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CA0CCC00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A7BA1C66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EF7CEDE8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7450C064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57DAC15E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A79A632C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2C0671D2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08D2BBE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1" w15:restartNumberingAfterBreak="0">
    <w:nsid w:val="0B5B60F2"/>
    <w:multiLevelType w:val="hybridMultilevel"/>
    <w:tmpl w:val="E88CFDBC"/>
    <w:lvl w:ilvl="0" w:tplc="46EC305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4B3902"/>
    <w:multiLevelType w:val="hybridMultilevel"/>
    <w:tmpl w:val="6388D764"/>
    <w:lvl w:ilvl="0" w:tplc="C64867C4">
      <w:start w:val="1"/>
      <w:numFmt w:val="decimal"/>
      <w:lvlText w:val="%1)"/>
      <w:lvlJc w:val="left"/>
      <w:pPr>
        <w:ind w:left="37" w:hanging="208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2D125108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1E0044F4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C924F612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B550300E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F42E53B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E086F75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A12A3FB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7CE258A8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3" w15:restartNumberingAfterBreak="0">
    <w:nsid w:val="2B63316F"/>
    <w:multiLevelType w:val="hybridMultilevel"/>
    <w:tmpl w:val="4CB4E582"/>
    <w:lvl w:ilvl="0" w:tplc="517EDED6">
      <w:start w:val="1"/>
      <w:numFmt w:val="decimal"/>
      <w:lvlText w:val="%1."/>
      <w:lvlJc w:val="left"/>
      <w:pPr>
        <w:ind w:left="511" w:hanging="241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46385820">
      <w:numFmt w:val="bullet"/>
      <w:lvlText w:val="•"/>
      <w:lvlJc w:val="left"/>
      <w:pPr>
        <w:ind w:left="1507" w:hanging="241"/>
      </w:pPr>
      <w:rPr>
        <w:rFonts w:hint="default"/>
        <w:lang w:val="hr-HR" w:eastAsia="en-US" w:bidi="ar-SA"/>
      </w:rPr>
    </w:lvl>
    <w:lvl w:ilvl="2" w:tplc="58925FEC">
      <w:numFmt w:val="bullet"/>
      <w:lvlText w:val="•"/>
      <w:lvlJc w:val="left"/>
      <w:pPr>
        <w:ind w:left="2614" w:hanging="241"/>
      </w:pPr>
      <w:rPr>
        <w:rFonts w:hint="default"/>
        <w:lang w:val="hr-HR" w:eastAsia="en-US" w:bidi="ar-SA"/>
      </w:rPr>
    </w:lvl>
    <w:lvl w:ilvl="3" w:tplc="571426C2">
      <w:numFmt w:val="bullet"/>
      <w:lvlText w:val="•"/>
      <w:lvlJc w:val="left"/>
      <w:pPr>
        <w:ind w:left="3721" w:hanging="241"/>
      </w:pPr>
      <w:rPr>
        <w:rFonts w:hint="default"/>
        <w:lang w:val="hr-HR" w:eastAsia="en-US" w:bidi="ar-SA"/>
      </w:rPr>
    </w:lvl>
    <w:lvl w:ilvl="4" w:tplc="24C4E1E0">
      <w:numFmt w:val="bullet"/>
      <w:lvlText w:val="•"/>
      <w:lvlJc w:val="left"/>
      <w:pPr>
        <w:ind w:left="4828" w:hanging="241"/>
      </w:pPr>
      <w:rPr>
        <w:rFonts w:hint="default"/>
        <w:lang w:val="hr-HR" w:eastAsia="en-US" w:bidi="ar-SA"/>
      </w:rPr>
    </w:lvl>
    <w:lvl w:ilvl="5" w:tplc="D59E994C">
      <w:numFmt w:val="bullet"/>
      <w:lvlText w:val="•"/>
      <w:lvlJc w:val="left"/>
      <w:pPr>
        <w:ind w:left="5936" w:hanging="241"/>
      </w:pPr>
      <w:rPr>
        <w:rFonts w:hint="default"/>
        <w:lang w:val="hr-HR" w:eastAsia="en-US" w:bidi="ar-SA"/>
      </w:rPr>
    </w:lvl>
    <w:lvl w:ilvl="6" w:tplc="9990BFC8">
      <w:numFmt w:val="bullet"/>
      <w:lvlText w:val="•"/>
      <w:lvlJc w:val="left"/>
      <w:pPr>
        <w:ind w:left="7043" w:hanging="241"/>
      </w:pPr>
      <w:rPr>
        <w:rFonts w:hint="default"/>
        <w:lang w:val="hr-HR" w:eastAsia="en-US" w:bidi="ar-SA"/>
      </w:rPr>
    </w:lvl>
    <w:lvl w:ilvl="7" w:tplc="055E68CE">
      <w:numFmt w:val="bullet"/>
      <w:lvlText w:val="•"/>
      <w:lvlJc w:val="left"/>
      <w:pPr>
        <w:ind w:left="8150" w:hanging="241"/>
      </w:pPr>
      <w:rPr>
        <w:rFonts w:hint="default"/>
        <w:lang w:val="hr-HR" w:eastAsia="en-US" w:bidi="ar-SA"/>
      </w:rPr>
    </w:lvl>
    <w:lvl w:ilvl="8" w:tplc="20CA5D84">
      <w:numFmt w:val="bullet"/>
      <w:lvlText w:val="•"/>
      <w:lvlJc w:val="left"/>
      <w:pPr>
        <w:ind w:left="9257" w:hanging="241"/>
      </w:pPr>
      <w:rPr>
        <w:rFonts w:hint="default"/>
        <w:lang w:val="hr-HR" w:eastAsia="en-US" w:bidi="ar-SA"/>
      </w:rPr>
    </w:lvl>
  </w:abstractNum>
  <w:abstractNum w:abstractNumId="4" w15:restartNumberingAfterBreak="0">
    <w:nsid w:val="3ECB34E7"/>
    <w:multiLevelType w:val="hybridMultilevel"/>
    <w:tmpl w:val="8A08D908"/>
    <w:lvl w:ilvl="0" w:tplc="B71C3974">
      <w:start w:val="1"/>
      <w:numFmt w:val="decimal"/>
      <w:lvlText w:val="(%1)"/>
      <w:lvlJc w:val="left"/>
      <w:pPr>
        <w:ind w:left="37" w:hanging="313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6B9A73E2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1B62BD22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57167270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D4E60A7E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ECFAE912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E3887C30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D78481D4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46E08F78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5" w15:restartNumberingAfterBreak="0">
    <w:nsid w:val="5D2A70E9"/>
    <w:multiLevelType w:val="hybridMultilevel"/>
    <w:tmpl w:val="C35A07E6"/>
    <w:lvl w:ilvl="0" w:tplc="4F4C8B16">
      <w:start w:val="1"/>
      <w:numFmt w:val="decimal"/>
      <w:lvlText w:val="%1)"/>
      <w:lvlJc w:val="left"/>
      <w:pPr>
        <w:ind w:left="37" w:hanging="208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4628C61E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0DB647C0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0FCE9446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B9F8D064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125E0BCE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328C92AE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A2B0D220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A566A7BA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6" w15:restartNumberingAfterBreak="0">
    <w:nsid w:val="6BC65007"/>
    <w:multiLevelType w:val="hybridMultilevel"/>
    <w:tmpl w:val="E53858EE"/>
    <w:lvl w:ilvl="0" w:tplc="2C66A770">
      <w:start w:val="1"/>
      <w:numFmt w:val="decimal"/>
      <w:lvlText w:val="%1."/>
      <w:lvlJc w:val="left"/>
      <w:pPr>
        <w:ind w:left="37" w:hanging="201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19DEA4DA">
      <w:numFmt w:val="bullet"/>
      <w:lvlText w:val="•"/>
      <w:lvlJc w:val="left"/>
      <w:pPr>
        <w:ind w:left="895" w:hanging="201"/>
      </w:pPr>
      <w:rPr>
        <w:rFonts w:hint="default"/>
        <w:lang w:val="hr-HR" w:eastAsia="en-US" w:bidi="ar-SA"/>
      </w:rPr>
    </w:lvl>
    <w:lvl w:ilvl="2" w:tplc="D5E67A28">
      <w:numFmt w:val="bullet"/>
      <w:lvlText w:val="•"/>
      <w:lvlJc w:val="left"/>
      <w:pPr>
        <w:ind w:left="1750" w:hanging="201"/>
      </w:pPr>
      <w:rPr>
        <w:rFonts w:hint="default"/>
        <w:lang w:val="hr-HR" w:eastAsia="en-US" w:bidi="ar-SA"/>
      </w:rPr>
    </w:lvl>
    <w:lvl w:ilvl="3" w:tplc="E77AD214">
      <w:numFmt w:val="bullet"/>
      <w:lvlText w:val="•"/>
      <w:lvlJc w:val="left"/>
      <w:pPr>
        <w:ind w:left="2606" w:hanging="201"/>
      </w:pPr>
      <w:rPr>
        <w:rFonts w:hint="default"/>
        <w:lang w:val="hr-HR" w:eastAsia="en-US" w:bidi="ar-SA"/>
      </w:rPr>
    </w:lvl>
    <w:lvl w:ilvl="4" w:tplc="E4AC1F50">
      <w:numFmt w:val="bullet"/>
      <w:lvlText w:val="•"/>
      <w:lvlJc w:val="left"/>
      <w:pPr>
        <w:ind w:left="3461" w:hanging="201"/>
      </w:pPr>
      <w:rPr>
        <w:rFonts w:hint="default"/>
        <w:lang w:val="hr-HR" w:eastAsia="en-US" w:bidi="ar-SA"/>
      </w:rPr>
    </w:lvl>
    <w:lvl w:ilvl="5" w:tplc="B82E37BE">
      <w:numFmt w:val="bullet"/>
      <w:lvlText w:val="•"/>
      <w:lvlJc w:val="left"/>
      <w:pPr>
        <w:ind w:left="4317" w:hanging="201"/>
      </w:pPr>
      <w:rPr>
        <w:rFonts w:hint="default"/>
        <w:lang w:val="hr-HR" w:eastAsia="en-US" w:bidi="ar-SA"/>
      </w:rPr>
    </w:lvl>
    <w:lvl w:ilvl="6" w:tplc="EF4CF10A">
      <w:numFmt w:val="bullet"/>
      <w:lvlText w:val="•"/>
      <w:lvlJc w:val="left"/>
      <w:pPr>
        <w:ind w:left="5172" w:hanging="201"/>
      </w:pPr>
      <w:rPr>
        <w:rFonts w:hint="default"/>
        <w:lang w:val="hr-HR" w:eastAsia="en-US" w:bidi="ar-SA"/>
      </w:rPr>
    </w:lvl>
    <w:lvl w:ilvl="7" w:tplc="D64A6BA2">
      <w:numFmt w:val="bullet"/>
      <w:lvlText w:val="•"/>
      <w:lvlJc w:val="left"/>
      <w:pPr>
        <w:ind w:left="6027" w:hanging="201"/>
      </w:pPr>
      <w:rPr>
        <w:rFonts w:hint="default"/>
        <w:lang w:val="hr-HR" w:eastAsia="en-US" w:bidi="ar-SA"/>
      </w:rPr>
    </w:lvl>
    <w:lvl w:ilvl="8" w:tplc="875418C6">
      <w:numFmt w:val="bullet"/>
      <w:lvlText w:val="•"/>
      <w:lvlJc w:val="left"/>
      <w:pPr>
        <w:ind w:left="6883" w:hanging="201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4"/>
    <w:rsid w:val="002E7BC5"/>
    <w:rsid w:val="00481BB8"/>
    <w:rsid w:val="00A8521A"/>
    <w:rsid w:val="00E11B09"/>
    <w:rsid w:val="00E45544"/>
    <w:rsid w:val="00E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E6E7D-F3E1-4492-A3B9-3D7659A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9"/>
    <w:qFormat/>
    <w:pPr>
      <w:ind w:left="1589" w:right="164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/>
      <w:ind w:left="398" w:hanging="24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3768</Words>
  <Characters>21484</Characters>
  <Application>Microsoft Office Word</Application>
  <DocSecurity>0</DocSecurity>
  <Lines>179</Lines>
  <Paragraphs>50</Paragraphs>
  <ScaleCrop>false</ScaleCrop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Lacković Ádám</cp:lastModifiedBy>
  <cp:revision>5</cp:revision>
  <dcterms:created xsi:type="dcterms:W3CDTF">2020-07-28T12:12:00Z</dcterms:created>
  <dcterms:modified xsi:type="dcterms:W3CDTF">2020-07-30T07:17:00Z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2020-07-28T00:00:00Z</vt:filetime>
  </property>
</Properties>
</file>